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816A31" w:rsidRPr="00FA5D4B" w:rsidRDefault="00816A31" w:rsidP="00E41BF9">
      <w:pPr>
        <w:rPr>
          <w:sz w:val="24"/>
          <w:szCs w:val="24"/>
        </w:rPr>
      </w:pPr>
    </w:p>
    <w:p w:rsidR="003F67D3" w:rsidRPr="00FA5D4B" w:rsidRDefault="003F67D3" w:rsidP="00550C35">
      <w:pPr>
        <w:ind w:left="2160" w:firstLine="720"/>
        <w:rPr>
          <w:sz w:val="24"/>
          <w:szCs w:val="24"/>
        </w:rPr>
      </w:pPr>
      <w:r w:rsidRPr="00FA5D4B">
        <w:rPr>
          <w:sz w:val="24"/>
          <w:szCs w:val="24"/>
        </w:rPr>
        <w:t>B</w:t>
      </w:r>
      <w:r w:rsidR="00301E42" w:rsidRPr="00FA5D4B">
        <w:rPr>
          <w:sz w:val="24"/>
          <w:szCs w:val="24"/>
        </w:rPr>
        <w:t xml:space="preserve">ORNEO </w:t>
      </w:r>
      <w:r w:rsidRPr="00FA5D4B">
        <w:rPr>
          <w:sz w:val="24"/>
          <w:szCs w:val="24"/>
        </w:rPr>
        <w:t>O</w:t>
      </w:r>
      <w:r w:rsidR="00301E42" w:rsidRPr="00FA5D4B">
        <w:rPr>
          <w:sz w:val="24"/>
          <w:szCs w:val="24"/>
        </w:rPr>
        <w:t>IL</w:t>
      </w:r>
      <w:r w:rsidRPr="00FA5D4B">
        <w:rPr>
          <w:sz w:val="24"/>
          <w:szCs w:val="24"/>
        </w:rPr>
        <w:t xml:space="preserve"> B</w:t>
      </w:r>
      <w:r w:rsidR="00301E42" w:rsidRPr="00FA5D4B">
        <w:rPr>
          <w:sz w:val="24"/>
          <w:szCs w:val="24"/>
        </w:rPr>
        <w:t>ERHAD</w:t>
      </w:r>
    </w:p>
    <w:p w:rsidR="003F67D3" w:rsidRPr="00FA5D4B" w:rsidRDefault="003F67D3" w:rsidP="00E41BF9">
      <w:pPr>
        <w:rPr>
          <w:sz w:val="24"/>
          <w:szCs w:val="24"/>
        </w:rPr>
      </w:pPr>
    </w:p>
    <w:p w:rsidR="003F67D3" w:rsidRPr="00FA5D4B" w:rsidRDefault="003F67D3" w:rsidP="00550C35">
      <w:pPr>
        <w:ind w:left="2160" w:firstLine="720"/>
        <w:rPr>
          <w:sz w:val="24"/>
          <w:szCs w:val="24"/>
        </w:rPr>
      </w:pPr>
      <w:r w:rsidRPr="00FA5D4B">
        <w:rPr>
          <w:sz w:val="24"/>
          <w:szCs w:val="24"/>
        </w:rPr>
        <w:t>Company No. 121919-H</w:t>
      </w:r>
    </w:p>
    <w:p w:rsidR="003F67D3" w:rsidRPr="00FA5D4B" w:rsidRDefault="003F67D3" w:rsidP="00550C35">
      <w:pPr>
        <w:ind w:left="2160" w:firstLine="720"/>
        <w:rPr>
          <w:sz w:val="24"/>
          <w:szCs w:val="24"/>
        </w:rPr>
      </w:pPr>
      <w:r w:rsidRPr="00FA5D4B">
        <w:rPr>
          <w:sz w:val="24"/>
          <w:szCs w:val="24"/>
        </w:rPr>
        <w:t>(Incorporated in Malaysia)</w:t>
      </w:r>
    </w:p>
    <w:p w:rsidR="003F67D3" w:rsidRPr="00FA5D4B" w:rsidRDefault="003F67D3" w:rsidP="00E41BF9">
      <w:pPr>
        <w:rPr>
          <w:sz w:val="24"/>
          <w:szCs w:val="24"/>
        </w:rPr>
      </w:pPr>
    </w:p>
    <w:p w:rsidR="003F67D3" w:rsidRPr="00FA5D4B" w:rsidRDefault="003F67D3" w:rsidP="00E41BF9">
      <w:pPr>
        <w:rPr>
          <w:sz w:val="24"/>
          <w:szCs w:val="24"/>
        </w:rPr>
      </w:pPr>
    </w:p>
    <w:p w:rsidR="009A78D2" w:rsidRPr="00FA5D4B" w:rsidRDefault="00FF3BFE" w:rsidP="00550C35">
      <w:pPr>
        <w:ind w:left="720" w:firstLine="720"/>
        <w:rPr>
          <w:sz w:val="24"/>
          <w:szCs w:val="24"/>
        </w:rPr>
      </w:pPr>
      <w:r w:rsidRPr="00FA5D4B">
        <w:rPr>
          <w:sz w:val="24"/>
          <w:szCs w:val="24"/>
        </w:rPr>
        <w:t>Q</w:t>
      </w:r>
      <w:r w:rsidR="00301E42" w:rsidRPr="00FA5D4B">
        <w:rPr>
          <w:sz w:val="24"/>
          <w:szCs w:val="24"/>
        </w:rPr>
        <w:t>UARTERLY</w:t>
      </w:r>
      <w:r w:rsidRPr="00FA5D4B">
        <w:rPr>
          <w:sz w:val="24"/>
          <w:szCs w:val="24"/>
        </w:rPr>
        <w:t xml:space="preserve"> R</w:t>
      </w:r>
      <w:r w:rsidR="00301E42" w:rsidRPr="00FA5D4B">
        <w:rPr>
          <w:sz w:val="24"/>
          <w:szCs w:val="24"/>
        </w:rPr>
        <w:t>EPORT</w:t>
      </w:r>
      <w:r w:rsidRPr="00FA5D4B">
        <w:rPr>
          <w:sz w:val="24"/>
          <w:szCs w:val="24"/>
        </w:rPr>
        <w:t xml:space="preserve"> O</w:t>
      </w:r>
      <w:r w:rsidR="00301E42" w:rsidRPr="00FA5D4B">
        <w:rPr>
          <w:sz w:val="24"/>
          <w:szCs w:val="24"/>
        </w:rPr>
        <w:t>N</w:t>
      </w:r>
      <w:r w:rsidRPr="00FA5D4B">
        <w:rPr>
          <w:sz w:val="24"/>
          <w:szCs w:val="24"/>
        </w:rPr>
        <w:t xml:space="preserve"> C</w:t>
      </w:r>
      <w:r w:rsidR="00301E42" w:rsidRPr="00FA5D4B">
        <w:rPr>
          <w:sz w:val="24"/>
          <w:szCs w:val="24"/>
        </w:rPr>
        <w:t>ONSOLIDATED</w:t>
      </w:r>
      <w:r w:rsidRPr="00FA5D4B">
        <w:rPr>
          <w:sz w:val="24"/>
          <w:szCs w:val="24"/>
        </w:rPr>
        <w:t xml:space="preserve"> R</w:t>
      </w:r>
      <w:r w:rsidR="00301E42" w:rsidRPr="00FA5D4B">
        <w:rPr>
          <w:sz w:val="24"/>
          <w:szCs w:val="24"/>
        </w:rPr>
        <w:t>ESULTS</w:t>
      </w:r>
    </w:p>
    <w:p w:rsidR="00FF3BFE" w:rsidRPr="00FA5D4B" w:rsidRDefault="00FF3BFE" w:rsidP="00550C35">
      <w:pPr>
        <w:ind w:left="1440" w:firstLine="720"/>
        <w:rPr>
          <w:sz w:val="24"/>
          <w:szCs w:val="24"/>
        </w:rPr>
      </w:pPr>
      <w:proofErr w:type="gramStart"/>
      <w:r w:rsidRPr="00FA5D4B">
        <w:rPr>
          <w:sz w:val="24"/>
          <w:szCs w:val="24"/>
        </w:rPr>
        <w:t>F</w:t>
      </w:r>
      <w:r w:rsidR="00301E42" w:rsidRPr="00FA5D4B">
        <w:rPr>
          <w:sz w:val="24"/>
          <w:szCs w:val="24"/>
        </w:rPr>
        <w:t xml:space="preserve">OR </w:t>
      </w:r>
      <w:r w:rsidRPr="00FA5D4B">
        <w:rPr>
          <w:sz w:val="24"/>
          <w:szCs w:val="24"/>
        </w:rPr>
        <w:t xml:space="preserve"> T</w:t>
      </w:r>
      <w:r w:rsidR="00301E42" w:rsidRPr="00FA5D4B">
        <w:rPr>
          <w:sz w:val="24"/>
          <w:szCs w:val="24"/>
        </w:rPr>
        <w:t>HE</w:t>
      </w:r>
      <w:proofErr w:type="gramEnd"/>
      <w:r w:rsidR="00823019" w:rsidRPr="00FA5D4B">
        <w:rPr>
          <w:sz w:val="24"/>
          <w:szCs w:val="24"/>
        </w:rPr>
        <w:t xml:space="preserve"> </w:t>
      </w:r>
      <w:r w:rsidR="00D015B8" w:rsidRPr="00FA5D4B">
        <w:rPr>
          <w:sz w:val="24"/>
          <w:szCs w:val="24"/>
        </w:rPr>
        <w:t>THIRD</w:t>
      </w:r>
      <w:r w:rsidR="0024270F" w:rsidRPr="00FA5D4B">
        <w:rPr>
          <w:sz w:val="24"/>
          <w:szCs w:val="24"/>
        </w:rPr>
        <w:t xml:space="preserve"> </w:t>
      </w:r>
      <w:r w:rsidRPr="00FA5D4B">
        <w:rPr>
          <w:sz w:val="24"/>
          <w:szCs w:val="24"/>
        </w:rPr>
        <w:t>Q</w:t>
      </w:r>
      <w:r w:rsidR="00301E42" w:rsidRPr="00FA5D4B">
        <w:rPr>
          <w:sz w:val="24"/>
          <w:szCs w:val="24"/>
        </w:rPr>
        <w:t>UARTER</w:t>
      </w:r>
      <w:r w:rsidRPr="00FA5D4B">
        <w:rPr>
          <w:sz w:val="24"/>
          <w:szCs w:val="24"/>
        </w:rPr>
        <w:t xml:space="preserve"> E</w:t>
      </w:r>
      <w:r w:rsidR="00301E42" w:rsidRPr="00FA5D4B">
        <w:rPr>
          <w:sz w:val="24"/>
          <w:szCs w:val="24"/>
        </w:rPr>
        <w:t>NDED</w:t>
      </w:r>
    </w:p>
    <w:p w:rsidR="003F67D3" w:rsidRPr="00FA5D4B" w:rsidRDefault="00C71BD5" w:rsidP="00550C35">
      <w:pPr>
        <w:ind w:left="2880" w:firstLine="720"/>
        <w:rPr>
          <w:sz w:val="24"/>
          <w:szCs w:val="24"/>
        </w:rPr>
      </w:pPr>
      <w:r w:rsidRPr="00FA5D4B">
        <w:rPr>
          <w:sz w:val="24"/>
          <w:szCs w:val="24"/>
        </w:rPr>
        <w:t>3</w:t>
      </w:r>
      <w:r w:rsidR="00CC5BD0" w:rsidRPr="00FA5D4B">
        <w:rPr>
          <w:sz w:val="24"/>
          <w:szCs w:val="24"/>
        </w:rPr>
        <w:t xml:space="preserve">1 </w:t>
      </w:r>
      <w:r w:rsidR="00D015B8" w:rsidRPr="00FA5D4B">
        <w:rPr>
          <w:sz w:val="24"/>
          <w:szCs w:val="24"/>
        </w:rPr>
        <w:t>OCTOBER</w:t>
      </w:r>
      <w:r w:rsidR="003F67D3" w:rsidRPr="00FA5D4B">
        <w:rPr>
          <w:sz w:val="24"/>
          <w:szCs w:val="24"/>
        </w:rPr>
        <w:t xml:space="preserve"> 201</w:t>
      </w:r>
      <w:r w:rsidR="0097769A" w:rsidRPr="00FA5D4B">
        <w:rPr>
          <w:sz w:val="24"/>
          <w:szCs w:val="24"/>
        </w:rPr>
        <w:t>7</w:t>
      </w:r>
    </w:p>
    <w:p w:rsidR="00FF3BFE" w:rsidRPr="00FA5D4B" w:rsidRDefault="00FF3BFE" w:rsidP="00E41BF9">
      <w:pPr>
        <w:rPr>
          <w:sz w:val="24"/>
          <w:szCs w:val="24"/>
        </w:rPr>
      </w:pPr>
    </w:p>
    <w:p w:rsidR="003F67D3" w:rsidRPr="00FA5D4B" w:rsidRDefault="00FF3BFE" w:rsidP="00550C35">
      <w:pPr>
        <w:ind w:left="1440" w:firstLine="720"/>
        <w:rPr>
          <w:sz w:val="24"/>
          <w:szCs w:val="24"/>
        </w:rPr>
      </w:pPr>
      <w:r w:rsidRPr="00FA5D4B">
        <w:rPr>
          <w:sz w:val="24"/>
          <w:szCs w:val="24"/>
        </w:rPr>
        <w:t>(T</w:t>
      </w:r>
      <w:r w:rsidR="00094F95" w:rsidRPr="00FA5D4B">
        <w:rPr>
          <w:sz w:val="24"/>
          <w:szCs w:val="24"/>
        </w:rPr>
        <w:t>HE FIGURES HAVE NOT BEEN AUDITED</w:t>
      </w:r>
      <w:r w:rsidRPr="00FA5D4B">
        <w:rPr>
          <w:sz w:val="24"/>
          <w:szCs w:val="24"/>
        </w:rPr>
        <w:t>)</w:t>
      </w: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pPr>
    </w:p>
    <w:p w:rsidR="003F67D3" w:rsidRPr="00FA5D4B" w:rsidRDefault="003F67D3" w:rsidP="00E41BF9">
      <w:pPr>
        <w:rPr>
          <w:sz w:val="24"/>
          <w:szCs w:val="24"/>
        </w:rPr>
        <w:sectPr w:rsidR="003F67D3" w:rsidRPr="00FA5D4B">
          <w:pgSz w:w="11909" w:h="16834" w:code="9"/>
          <w:pgMar w:top="720" w:right="1440" w:bottom="576" w:left="1440" w:header="720" w:footer="576" w:gutter="0"/>
          <w:cols w:space="720"/>
        </w:sectPr>
      </w:pPr>
    </w:p>
    <w:p w:rsidR="00152B7A" w:rsidRPr="00FA5D4B" w:rsidRDefault="00152B7A" w:rsidP="00E41BF9">
      <w:pPr>
        <w:rPr>
          <w:sz w:val="24"/>
          <w:szCs w:val="24"/>
        </w:rPr>
      </w:pPr>
    </w:p>
    <w:p w:rsidR="00152B7A" w:rsidRPr="00FA5D4B" w:rsidRDefault="00E85DBD" w:rsidP="00E41BF9">
      <w:pPr>
        <w:rPr>
          <w:sz w:val="24"/>
          <w:szCs w:val="24"/>
        </w:rPr>
      </w:pPr>
      <w:r w:rsidRPr="00FA5D4B">
        <w:rPr>
          <w:sz w:val="24"/>
          <w:szCs w:val="24"/>
        </w:rPr>
        <w:t>B</w:t>
      </w:r>
      <w:r w:rsidR="009D67EE" w:rsidRPr="00FA5D4B">
        <w:rPr>
          <w:sz w:val="24"/>
          <w:szCs w:val="24"/>
        </w:rPr>
        <w:t>ORNEO OIL BERHAD</w:t>
      </w:r>
    </w:p>
    <w:p w:rsidR="00E85DBD" w:rsidRPr="00FA5D4B" w:rsidRDefault="00E85DBD" w:rsidP="00E41BF9">
      <w:pPr>
        <w:rPr>
          <w:sz w:val="24"/>
          <w:szCs w:val="24"/>
        </w:rPr>
      </w:pPr>
      <w:r w:rsidRPr="00FA5D4B">
        <w:rPr>
          <w:sz w:val="24"/>
          <w:szCs w:val="24"/>
        </w:rPr>
        <w:t>(Company No. 121919-H)</w:t>
      </w:r>
    </w:p>
    <w:p w:rsidR="009D67EE" w:rsidRPr="00FA5D4B" w:rsidRDefault="009D67EE" w:rsidP="00E41BF9">
      <w:pPr>
        <w:rPr>
          <w:sz w:val="24"/>
          <w:szCs w:val="24"/>
        </w:rPr>
      </w:pPr>
      <w:r w:rsidRPr="00FA5D4B">
        <w:rPr>
          <w:sz w:val="24"/>
          <w:szCs w:val="24"/>
        </w:rPr>
        <w:t>Incorporated in Malaysia</w:t>
      </w:r>
    </w:p>
    <w:p w:rsidR="009D67EE" w:rsidRPr="00FA5D4B" w:rsidRDefault="009D67EE" w:rsidP="00E41BF9">
      <w:pPr>
        <w:rPr>
          <w:sz w:val="24"/>
          <w:szCs w:val="24"/>
        </w:rPr>
      </w:pPr>
      <w:r w:rsidRPr="00FA5D4B">
        <w:rPr>
          <w:sz w:val="24"/>
          <w:szCs w:val="24"/>
        </w:rPr>
        <w:t>QUARTERLY REPORT ON CONSOLIDATED RESULTS</w:t>
      </w:r>
    </w:p>
    <w:p w:rsidR="009D67EE" w:rsidRPr="00FA5D4B" w:rsidRDefault="00C757F3" w:rsidP="00E41BF9">
      <w:pPr>
        <w:rPr>
          <w:sz w:val="24"/>
          <w:szCs w:val="24"/>
        </w:rPr>
      </w:pPr>
      <w:r w:rsidRPr="00FA5D4B">
        <w:rPr>
          <w:sz w:val="24"/>
          <w:szCs w:val="24"/>
        </w:rPr>
        <w:t xml:space="preserve">FOR THE </w:t>
      </w:r>
      <w:r w:rsidR="00D015B8" w:rsidRPr="00FA5D4B">
        <w:rPr>
          <w:sz w:val="24"/>
          <w:szCs w:val="24"/>
        </w:rPr>
        <w:t>THIRD</w:t>
      </w:r>
      <w:r w:rsidR="009D67EE" w:rsidRPr="00FA5D4B">
        <w:rPr>
          <w:sz w:val="24"/>
          <w:szCs w:val="24"/>
        </w:rPr>
        <w:t xml:space="preserve"> QUARTER ENDED 3</w:t>
      </w:r>
      <w:r w:rsidR="00CC5BD0" w:rsidRPr="00FA5D4B">
        <w:rPr>
          <w:sz w:val="24"/>
          <w:szCs w:val="24"/>
        </w:rPr>
        <w:t xml:space="preserve">1 </w:t>
      </w:r>
      <w:r w:rsidR="00D015B8" w:rsidRPr="00FA5D4B">
        <w:rPr>
          <w:sz w:val="24"/>
          <w:szCs w:val="24"/>
        </w:rPr>
        <w:t>OCTOBER</w:t>
      </w:r>
      <w:r w:rsidR="0098338D" w:rsidRPr="00FA5D4B">
        <w:rPr>
          <w:sz w:val="24"/>
          <w:szCs w:val="24"/>
        </w:rPr>
        <w:t xml:space="preserve"> </w:t>
      </w:r>
      <w:r w:rsidR="00515825" w:rsidRPr="00FA5D4B">
        <w:rPr>
          <w:sz w:val="24"/>
          <w:szCs w:val="24"/>
        </w:rPr>
        <w:t>201</w:t>
      </w:r>
      <w:r w:rsidR="0097769A" w:rsidRPr="00FA5D4B">
        <w:rPr>
          <w:sz w:val="24"/>
          <w:szCs w:val="24"/>
        </w:rPr>
        <w:t>7</w:t>
      </w:r>
    </w:p>
    <w:p w:rsidR="009D67EE" w:rsidRPr="00FA5D4B" w:rsidRDefault="009D67EE" w:rsidP="00E41BF9">
      <w:pPr>
        <w:rPr>
          <w:sz w:val="24"/>
          <w:szCs w:val="24"/>
        </w:rPr>
      </w:pPr>
      <w:r w:rsidRPr="00FA5D4B">
        <w:rPr>
          <w:sz w:val="24"/>
          <w:szCs w:val="24"/>
        </w:rPr>
        <w:t>THE FIGURES HAVE NOT BEEN AUDITED</w:t>
      </w:r>
    </w:p>
    <w:p w:rsidR="009D67EE" w:rsidRPr="00FA5D4B" w:rsidRDefault="009D67EE" w:rsidP="00E41BF9">
      <w:pPr>
        <w:rPr>
          <w:sz w:val="24"/>
          <w:szCs w:val="24"/>
        </w:rPr>
      </w:pPr>
    </w:p>
    <w:p w:rsidR="003F67D3" w:rsidRPr="00FA5D4B" w:rsidRDefault="003F67D3" w:rsidP="00E41BF9">
      <w:pPr>
        <w:rPr>
          <w:sz w:val="24"/>
          <w:szCs w:val="24"/>
        </w:rPr>
      </w:pPr>
      <w:r w:rsidRPr="00FA5D4B">
        <w:rPr>
          <w:sz w:val="24"/>
          <w:szCs w:val="24"/>
        </w:rPr>
        <w:t>C</w:t>
      </w:r>
      <w:r w:rsidR="009D67EE" w:rsidRPr="00FA5D4B">
        <w:rPr>
          <w:sz w:val="24"/>
          <w:szCs w:val="24"/>
        </w:rPr>
        <w:t>ONDENSED</w:t>
      </w:r>
      <w:r w:rsidRPr="00FA5D4B">
        <w:rPr>
          <w:sz w:val="24"/>
          <w:szCs w:val="24"/>
        </w:rPr>
        <w:t xml:space="preserve"> C</w:t>
      </w:r>
      <w:r w:rsidR="009D67EE" w:rsidRPr="00FA5D4B">
        <w:rPr>
          <w:sz w:val="24"/>
          <w:szCs w:val="24"/>
        </w:rPr>
        <w:t>ONSOLIDATED</w:t>
      </w:r>
      <w:r w:rsidRPr="00FA5D4B">
        <w:rPr>
          <w:sz w:val="24"/>
          <w:szCs w:val="24"/>
        </w:rPr>
        <w:t xml:space="preserve"> S</w:t>
      </w:r>
      <w:r w:rsidR="003D27BE" w:rsidRPr="00FA5D4B">
        <w:rPr>
          <w:sz w:val="24"/>
          <w:szCs w:val="24"/>
        </w:rPr>
        <w:t>T</w:t>
      </w:r>
      <w:r w:rsidR="009D67EE" w:rsidRPr="00FA5D4B">
        <w:rPr>
          <w:sz w:val="24"/>
          <w:szCs w:val="24"/>
        </w:rPr>
        <w:t xml:space="preserve">ATEMENT OF </w:t>
      </w:r>
      <w:r w:rsidR="00FF3BFE" w:rsidRPr="00FA5D4B">
        <w:rPr>
          <w:sz w:val="24"/>
          <w:szCs w:val="24"/>
        </w:rPr>
        <w:t>C</w:t>
      </w:r>
      <w:r w:rsidR="009D67EE" w:rsidRPr="00FA5D4B">
        <w:rPr>
          <w:sz w:val="24"/>
          <w:szCs w:val="24"/>
        </w:rPr>
        <w:t>OMPREHENSIVE INCOME</w:t>
      </w:r>
    </w:p>
    <w:p w:rsidR="003F67D3" w:rsidRPr="00FA5D4B" w:rsidRDefault="003F67D3" w:rsidP="00E41BF9">
      <w:pPr>
        <w:rPr>
          <w:sz w:val="24"/>
          <w:szCs w:val="24"/>
        </w:rPr>
      </w:pPr>
      <w:r w:rsidRPr="00FA5D4B">
        <w:rPr>
          <w:sz w:val="24"/>
          <w:szCs w:val="24"/>
        </w:rPr>
        <w:t xml:space="preserve"> </w:t>
      </w:r>
    </w:p>
    <w:p w:rsidR="003F67D3" w:rsidRPr="00FA5D4B" w:rsidRDefault="00110183" w:rsidP="00E41BF9">
      <w:pPr>
        <w:rPr>
          <w:sz w:val="24"/>
          <w:szCs w:val="24"/>
        </w:rPr>
      </w:pPr>
      <w:r w:rsidRPr="00FA5D4B">
        <w:rPr>
          <w:sz w:val="24"/>
          <w:szCs w:val="24"/>
        </w:rPr>
        <w:object w:dxaOrig="9601" w:dyaOrig="8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35pt;height:537.5pt" o:ole="">
            <v:imagedata r:id="rId7" o:title=""/>
          </v:shape>
          <o:OLEObject Type="Embed" ProgID="Excel.Sheet.12" ShapeID="_x0000_i1025" DrawAspect="Content" ObjectID="_1576078816" r:id="rId8"/>
        </w:object>
      </w:r>
    </w:p>
    <w:tbl>
      <w:tblPr>
        <w:tblpPr w:leftFromText="180" w:rightFromText="180" w:horzAnchor="margin" w:tblpXSpec="center" w:tblpY="268"/>
        <w:tblW w:w="11644" w:type="dxa"/>
        <w:tblLook w:val="0000"/>
      </w:tblPr>
      <w:tblGrid>
        <w:gridCol w:w="10478"/>
        <w:gridCol w:w="236"/>
        <w:gridCol w:w="236"/>
        <w:gridCol w:w="222"/>
        <w:gridCol w:w="14"/>
        <w:gridCol w:w="236"/>
        <w:gridCol w:w="222"/>
      </w:tblGrid>
      <w:tr w:rsidR="00C73CBA" w:rsidRPr="00FA5D4B" w:rsidTr="00FA5D4B">
        <w:trPr>
          <w:cantSplit/>
          <w:trHeight w:val="87"/>
        </w:trPr>
        <w:tc>
          <w:tcPr>
            <w:tcW w:w="0" w:type="auto"/>
          </w:tcPr>
          <w:p w:rsidR="003F67D3" w:rsidRPr="00FA5D4B" w:rsidRDefault="003F67D3" w:rsidP="00892742">
            <w:pPr>
              <w:rPr>
                <w:sz w:val="24"/>
                <w:szCs w:val="24"/>
              </w:rPr>
            </w:pPr>
          </w:p>
        </w:tc>
        <w:tc>
          <w:tcPr>
            <w:tcW w:w="236" w:type="dxa"/>
          </w:tcPr>
          <w:p w:rsidR="003F67D3" w:rsidRPr="00FA5D4B" w:rsidRDefault="003F67D3" w:rsidP="00892742">
            <w:pPr>
              <w:rPr>
                <w:sz w:val="24"/>
                <w:szCs w:val="24"/>
              </w:rPr>
            </w:pPr>
          </w:p>
        </w:tc>
        <w:tc>
          <w:tcPr>
            <w:tcW w:w="458" w:type="dxa"/>
            <w:gridSpan w:val="2"/>
          </w:tcPr>
          <w:p w:rsidR="003F67D3" w:rsidRPr="00FA5D4B" w:rsidRDefault="003F67D3" w:rsidP="00892742">
            <w:pPr>
              <w:rPr>
                <w:sz w:val="24"/>
                <w:szCs w:val="24"/>
              </w:rPr>
            </w:pPr>
          </w:p>
        </w:tc>
        <w:tc>
          <w:tcPr>
            <w:tcW w:w="472" w:type="dxa"/>
            <w:gridSpan w:val="3"/>
          </w:tcPr>
          <w:p w:rsidR="003F67D3" w:rsidRPr="00FA5D4B" w:rsidRDefault="003F67D3" w:rsidP="00892742">
            <w:pPr>
              <w:rPr>
                <w:sz w:val="24"/>
                <w:szCs w:val="24"/>
              </w:rPr>
            </w:pPr>
          </w:p>
        </w:tc>
      </w:tr>
      <w:tr w:rsidR="00FA5D4B" w:rsidRPr="00FA5D4B" w:rsidTr="00563A2B">
        <w:trPr>
          <w:trHeight w:val="141"/>
        </w:trPr>
        <w:tc>
          <w:tcPr>
            <w:tcW w:w="0" w:type="auto"/>
          </w:tcPr>
          <w:p w:rsidR="00FA5D4B" w:rsidRPr="00FA5D4B" w:rsidRDefault="00FA5D4B" w:rsidP="00892742">
            <w:pPr>
              <w:rPr>
                <w:sz w:val="24"/>
                <w:szCs w:val="24"/>
              </w:rPr>
            </w:pPr>
            <w:r w:rsidRPr="00FA5D4B">
              <w:rPr>
                <w:sz w:val="24"/>
                <w:szCs w:val="24"/>
              </w:rPr>
              <w:t>BORNEO OIL BERHAD</w:t>
            </w:r>
          </w:p>
          <w:p w:rsidR="00FA5D4B" w:rsidRPr="00FA5D4B" w:rsidRDefault="00FA5D4B" w:rsidP="00892742">
            <w:pPr>
              <w:rPr>
                <w:sz w:val="24"/>
                <w:szCs w:val="24"/>
              </w:rPr>
            </w:pPr>
            <w:r w:rsidRPr="00FA5D4B">
              <w:rPr>
                <w:sz w:val="24"/>
                <w:szCs w:val="24"/>
              </w:rPr>
              <w:t>(Company No. 121919-H)</w:t>
            </w:r>
          </w:p>
          <w:p w:rsidR="00FA5D4B" w:rsidRPr="00FA5D4B" w:rsidRDefault="00FA5D4B" w:rsidP="00892742">
            <w:pPr>
              <w:rPr>
                <w:sz w:val="24"/>
                <w:szCs w:val="24"/>
              </w:rPr>
            </w:pPr>
            <w:r w:rsidRPr="00FA5D4B">
              <w:rPr>
                <w:sz w:val="24"/>
                <w:szCs w:val="24"/>
              </w:rPr>
              <w:t>Incorporated in Malaysia</w:t>
            </w:r>
          </w:p>
          <w:p w:rsidR="00FA5D4B" w:rsidRPr="00FA5D4B" w:rsidRDefault="00FA5D4B" w:rsidP="00892742">
            <w:pPr>
              <w:rPr>
                <w:sz w:val="24"/>
                <w:szCs w:val="24"/>
              </w:rPr>
            </w:pPr>
            <w:r w:rsidRPr="00FA5D4B">
              <w:rPr>
                <w:sz w:val="24"/>
                <w:szCs w:val="24"/>
              </w:rPr>
              <w:t>QUARTERLY REPORT ON CONSOLIDATED RESULTS</w:t>
            </w:r>
          </w:p>
          <w:p w:rsidR="00FA5D4B" w:rsidRPr="00FA5D4B" w:rsidRDefault="00FA5D4B" w:rsidP="00892742">
            <w:pPr>
              <w:rPr>
                <w:sz w:val="24"/>
                <w:szCs w:val="24"/>
              </w:rPr>
            </w:pPr>
            <w:r w:rsidRPr="00FA5D4B">
              <w:rPr>
                <w:sz w:val="24"/>
                <w:szCs w:val="24"/>
              </w:rPr>
              <w:t>FOR THE THIRD QUARTER ENDED 31 OCTOBER 2017</w:t>
            </w:r>
          </w:p>
          <w:p w:rsidR="00FA5D4B" w:rsidRPr="00FA5D4B" w:rsidRDefault="00FA5D4B" w:rsidP="00892742">
            <w:pPr>
              <w:rPr>
                <w:sz w:val="24"/>
                <w:szCs w:val="24"/>
              </w:rPr>
            </w:pPr>
            <w:r w:rsidRPr="00FA5D4B">
              <w:rPr>
                <w:sz w:val="24"/>
                <w:szCs w:val="24"/>
              </w:rPr>
              <w:t>THE FIGURES HAVE NOT BEEN AUDITED</w:t>
            </w:r>
          </w:p>
          <w:p w:rsidR="00FA5D4B" w:rsidRPr="00FA5D4B" w:rsidRDefault="00FA5D4B" w:rsidP="00892742">
            <w:pPr>
              <w:rPr>
                <w:sz w:val="24"/>
                <w:szCs w:val="24"/>
              </w:rPr>
            </w:pPr>
          </w:p>
          <w:p w:rsidR="00FA5D4B" w:rsidRPr="00FA5D4B" w:rsidRDefault="00FA5D4B" w:rsidP="00892742">
            <w:pPr>
              <w:rPr>
                <w:sz w:val="24"/>
                <w:szCs w:val="24"/>
              </w:rPr>
            </w:pPr>
            <w:r w:rsidRPr="00FA5D4B">
              <w:rPr>
                <w:sz w:val="24"/>
                <w:szCs w:val="24"/>
              </w:rPr>
              <w:t>CONDENSED CONSOLIDATED STATEMENT OF FINANCIAL POSITION</w:t>
            </w:r>
          </w:p>
          <w:p w:rsidR="00FA5D4B" w:rsidRPr="00FA5D4B" w:rsidRDefault="00FA5D4B" w:rsidP="00892742">
            <w:pPr>
              <w:rPr>
                <w:sz w:val="24"/>
                <w:szCs w:val="24"/>
              </w:rPr>
            </w:pPr>
          </w:p>
          <w:p w:rsidR="00FA5D4B" w:rsidRPr="00FA5D4B" w:rsidRDefault="00C64CF3" w:rsidP="00892742">
            <w:pPr>
              <w:rPr>
                <w:sz w:val="24"/>
                <w:szCs w:val="24"/>
              </w:rPr>
            </w:pPr>
            <w:r w:rsidRPr="00FA5D4B">
              <w:rPr>
                <w:sz w:val="24"/>
                <w:szCs w:val="24"/>
              </w:rPr>
              <w:object w:dxaOrig="10805" w:dyaOrig="11759">
                <v:shape id="_x0000_i1026" type="#_x0000_t75" style="width:491.45pt;height:591.05pt" o:ole="">
                  <v:imagedata r:id="rId9" o:title=""/>
                </v:shape>
                <o:OLEObject Type="Embed" ProgID="Excel.Sheet.12" ShapeID="_x0000_i1026" DrawAspect="Content" ObjectID="_1576078817" r:id="rId10"/>
              </w:object>
            </w:r>
          </w:p>
        </w:tc>
        <w:tc>
          <w:tcPr>
            <w:tcW w:w="236" w:type="dxa"/>
          </w:tcPr>
          <w:p w:rsidR="00FA5D4B" w:rsidRPr="00FA5D4B" w:rsidRDefault="00FA5D4B" w:rsidP="00892742">
            <w:pPr>
              <w:rPr>
                <w:sz w:val="24"/>
                <w:szCs w:val="24"/>
              </w:rPr>
            </w:pPr>
          </w:p>
        </w:tc>
        <w:tc>
          <w:tcPr>
            <w:tcW w:w="236" w:type="dxa"/>
            <w:vAlign w:val="bottom"/>
          </w:tcPr>
          <w:p w:rsidR="00FA5D4B" w:rsidRPr="00FA5D4B" w:rsidRDefault="00FA5D4B" w:rsidP="00892742">
            <w:pPr>
              <w:rPr>
                <w:sz w:val="24"/>
                <w:szCs w:val="24"/>
              </w:rPr>
            </w:pPr>
          </w:p>
        </w:tc>
        <w:tc>
          <w:tcPr>
            <w:tcW w:w="236" w:type="dxa"/>
            <w:gridSpan w:val="2"/>
            <w:vAlign w:val="bottom"/>
          </w:tcPr>
          <w:p w:rsidR="00FA5D4B" w:rsidRPr="00FA5D4B" w:rsidRDefault="00FA5D4B" w:rsidP="00892742">
            <w:pPr>
              <w:rPr>
                <w:sz w:val="24"/>
                <w:szCs w:val="24"/>
              </w:rPr>
            </w:pPr>
          </w:p>
        </w:tc>
        <w:tc>
          <w:tcPr>
            <w:tcW w:w="236" w:type="dxa"/>
            <w:vAlign w:val="bottom"/>
          </w:tcPr>
          <w:p w:rsidR="00FA5D4B" w:rsidRPr="00FA5D4B" w:rsidRDefault="00FA5D4B" w:rsidP="00892742">
            <w:pPr>
              <w:rPr>
                <w:sz w:val="24"/>
                <w:szCs w:val="24"/>
              </w:rPr>
            </w:pPr>
          </w:p>
        </w:tc>
        <w:tc>
          <w:tcPr>
            <w:tcW w:w="0" w:type="auto"/>
            <w:vAlign w:val="bottom"/>
          </w:tcPr>
          <w:p w:rsidR="00FA5D4B" w:rsidRPr="00FA5D4B" w:rsidRDefault="00FA5D4B" w:rsidP="00892742">
            <w:pPr>
              <w:rPr>
                <w:sz w:val="24"/>
                <w:szCs w:val="24"/>
              </w:rPr>
            </w:pPr>
          </w:p>
        </w:tc>
      </w:tr>
      <w:tr w:rsidR="00FA5D4B" w:rsidRPr="00FA5D4B" w:rsidTr="00563A2B">
        <w:tc>
          <w:tcPr>
            <w:tcW w:w="0" w:type="auto"/>
          </w:tcPr>
          <w:p w:rsidR="00FA5D4B" w:rsidRPr="00FA5D4B" w:rsidRDefault="00FA5D4B" w:rsidP="00892742">
            <w:pPr>
              <w:rPr>
                <w:sz w:val="24"/>
                <w:szCs w:val="24"/>
              </w:rPr>
            </w:pPr>
          </w:p>
        </w:tc>
        <w:tc>
          <w:tcPr>
            <w:tcW w:w="236" w:type="dxa"/>
          </w:tcPr>
          <w:p w:rsidR="00FA5D4B" w:rsidRPr="00FA5D4B" w:rsidRDefault="00FA5D4B" w:rsidP="00892742">
            <w:pPr>
              <w:rPr>
                <w:sz w:val="24"/>
                <w:szCs w:val="24"/>
              </w:rPr>
            </w:pPr>
          </w:p>
        </w:tc>
        <w:tc>
          <w:tcPr>
            <w:tcW w:w="236" w:type="dxa"/>
            <w:vAlign w:val="bottom"/>
          </w:tcPr>
          <w:p w:rsidR="00FA5D4B" w:rsidRPr="00FA5D4B" w:rsidRDefault="00FA5D4B" w:rsidP="00892742">
            <w:pPr>
              <w:rPr>
                <w:sz w:val="24"/>
                <w:szCs w:val="24"/>
              </w:rPr>
            </w:pPr>
          </w:p>
        </w:tc>
        <w:tc>
          <w:tcPr>
            <w:tcW w:w="236" w:type="dxa"/>
            <w:gridSpan w:val="2"/>
            <w:vAlign w:val="bottom"/>
          </w:tcPr>
          <w:p w:rsidR="00FA5D4B" w:rsidRPr="00FA5D4B" w:rsidRDefault="00FA5D4B" w:rsidP="00892742">
            <w:pPr>
              <w:rPr>
                <w:sz w:val="24"/>
                <w:szCs w:val="24"/>
              </w:rPr>
            </w:pPr>
          </w:p>
        </w:tc>
        <w:tc>
          <w:tcPr>
            <w:tcW w:w="236" w:type="dxa"/>
            <w:vAlign w:val="bottom"/>
          </w:tcPr>
          <w:p w:rsidR="00FA5D4B" w:rsidRPr="00FA5D4B" w:rsidRDefault="00FA5D4B" w:rsidP="00892742">
            <w:pPr>
              <w:rPr>
                <w:sz w:val="24"/>
                <w:szCs w:val="24"/>
              </w:rPr>
            </w:pPr>
          </w:p>
        </w:tc>
        <w:tc>
          <w:tcPr>
            <w:tcW w:w="0" w:type="auto"/>
            <w:vAlign w:val="bottom"/>
          </w:tcPr>
          <w:p w:rsidR="00FA5D4B" w:rsidRPr="00FA5D4B" w:rsidRDefault="00FA5D4B" w:rsidP="00892742">
            <w:pPr>
              <w:rPr>
                <w:sz w:val="24"/>
                <w:szCs w:val="24"/>
              </w:rPr>
            </w:pPr>
          </w:p>
        </w:tc>
      </w:tr>
    </w:tbl>
    <w:p w:rsidR="00C51A7D" w:rsidRPr="00FA5D4B" w:rsidRDefault="00C51A7D" w:rsidP="00E41BF9">
      <w:pPr>
        <w:rPr>
          <w:sz w:val="24"/>
          <w:szCs w:val="24"/>
        </w:rPr>
        <w:sectPr w:rsidR="00C51A7D" w:rsidRPr="00FA5D4B" w:rsidSect="00A60AAD">
          <w:headerReference w:type="default" r:id="rId11"/>
          <w:footerReference w:type="default" r:id="rId12"/>
          <w:footerReference w:type="first" r:id="rId13"/>
          <w:pgSz w:w="11909" w:h="16834" w:code="9"/>
          <w:pgMar w:top="540" w:right="929" w:bottom="360" w:left="1440" w:header="720" w:footer="576" w:gutter="0"/>
          <w:pgNumType w:start="1"/>
          <w:cols w:space="720"/>
          <w:titlePg/>
          <w:docGrid w:linePitch="326"/>
        </w:sectPr>
      </w:pPr>
    </w:p>
    <w:p w:rsidR="00192DE0" w:rsidRPr="00FA5D4B" w:rsidRDefault="00192DE0" w:rsidP="00E41BF9">
      <w:pPr>
        <w:rPr>
          <w:sz w:val="24"/>
          <w:szCs w:val="24"/>
        </w:rPr>
      </w:pPr>
      <w:r w:rsidRPr="00FA5D4B">
        <w:rPr>
          <w:sz w:val="24"/>
          <w:szCs w:val="24"/>
        </w:rPr>
        <w:lastRenderedPageBreak/>
        <w:t>BORNEO OIL BERHAD</w:t>
      </w:r>
    </w:p>
    <w:p w:rsidR="00192DE0" w:rsidRPr="00FA5D4B" w:rsidRDefault="00192DE0" w:rsidP="00E41BF9">
      <w:pPr>
        <w:rPr>
          <w:sz w:val="24"/>
          <w:szCs w:val="24"/>
        </w:rPr>
      </w:pPr>
      <w:r w:rsidRPr="00FA5D4B">
        <w:rPr>
          <w:sz w:val="24"/>
          <w:szCs w:val="24"/>
        </w:rPr>
        <w:t>(Company No. 121919-H)</w:t>
      </w:r>
    </w:p>
    <w:p w:rsidR="00192DE0" w:rsidRPr="00FA5D4B" w:rsidRDefault="00192DE0" w:rsidP="00E41BF9">
      <w:pPr>
        <w:rPr>
          <w:sz w:val="24"/>
          <w:szCs w:val="24"/>
        </w:rPr>
      </w:pPr>
      <w:r w:rsidRPr="00FA5D4B">
        <w:rPr>
          <w:sz w:val="24"/>
          <w:szCs w:val="24"/>
        </w:rPr>
        <w:t>Incorporated in Malaysia</w:t>
      </w:r>
    </w:p>
    <w:p w:rsidR="00192DE0" w:rsidRPr="00FA5D4B" w:rsidRDefault="00192DE0" w:rsidP="00E41BF9">
      <w:pPr>
        <w:rPr>
          <w:sz w:val="24"/>
          <w:szCs w:val="24"/>
        </w:rPr>
      </w:pPr>
      <w:r w:rsidRPr="00FA5D4B">
        <w:rPr>
          <w:sz w:val="24"/>
          <w:szCs w:val="24"/>
        </w:rPr>
        <w:t>QUARTERLY REPORT ON CONSOLIDATED RESULTS</w:t>
      </w:r>
    </w:p>
    <w:p w:rsidR="006D3C5B" w:rsidRPr="00FA5D4B" w:rsidRDefault="00192DE0" w:rsidP="00E41BF9">
      <w:pPr>
        <w:rPr>
          <w:sz w:val="24"/>
          <w:szCs w:val="24"/>
        </w:rPr>
      </w:pPr>
      <w:r w:rsidRPr="00FA5D4B">
        <w:rPr>
          <w:sz w:val="24"/>
          <w:szCs w:val="24"/>
        </w:rPr>
        <w:t xml:space="preserve">FOR THE </w:t>
      </w:r>
      <w:r w:rsidR="00D015B8" w:rsidRPr="00FA5D4B">
        <w:rPr>
          <w:sz w:val="24"/>
          <w:szCs w:val="24"/>
        </w:rPr>
        <w:t>THIRD</w:t>
      </w:r>
      <w:r w:rsidRPr="00FA5D4B">
        <w:rPr>
          <w:sz w:val="24"/>
          <w:szCs w:val="24"/>
        </w:rPr>
        <w:t xml:space="preserve"> QUARTER ENDED 3</w:t>
      </w:r>
      <w:r w:rsidR="00A66015" w:rsidRPr="00FA5D4B">
        <w:rPr>
          <w:sz w:val="24"/>
          <w:szCs w:val="24"/>
        </w:rPr>
        <w:t xml:space="preserve">1 </w:t>
      </w:r>
      <w:r w:rsidR="00D015B8" w:rsidRPr="00FA5D4B">
        <w:rPr>
          <w:sz w:val="24"/>
          <w:szCs w:val="24"/>
        </w:rPr>
        <w:t>OCTOBER</w:t>
      </w:r>
      <w:r w:rsidR="002B0A77" w:rsidRPr="00FA5D4B">
        <w:rPr>
          <w:sz w:val="24"/>
          <w:szCs w:val="24"/>
        </w:rPr>
        <w:t xml:space="preserve"> </w:t>
      </w:r>
      <w:r w:rsidR="00052C43" w:rsidRPr="00FA5D4B">
        <w:rPr>
          <w:sz w:val="24"/>
          <w:szCs w:val="24"/>
        </w:rPr>
        <w:t>201</w:t>
      </w:r>
      <w:r w:rsidR="00580469" w:rsidRPr="00FA5D4B">
        <w:rPr>
          <w:sz w:val="24"/>
          <w:szCs w:val="24"/>
        </w:rPr>
        <w:t>7</w:t>
      </w:r>
    </w:p>
    <w:p w:rsidR="00192DE0" w:rsidRPr="00FA5D4B" w:rsidRDefault="00192DE0" w:rsidP="00E41BF9">
      <w:pPr>
        <w:rPr>
          <w:sz w:val="24"/>
          <w:szCs w:val="24"/>
        </w:rPr>
      </w:pPr>
      <w:r w:rsidRPr="00FA5D4B">
        <w:rPr>
          <w:sz w:val="24"/>
          <w:szCs w:val="24"/>
        </w:rPr>
        <w:t>THE FIGURES HAVE NOT BEEN AUDITED</w:t>
      </w:r>
    </w:p>
    <w:p w:rsidR="00E67AAD" w:rsidRPr="00FA5D4B" w:rsidRDefault="00E67AAD" w:rsidP="00E41BF9">
      <w:pPr>
        <w:rPr>
          <w:sz w:val="24"/>
          <w:szCs w:val="24"/>
        </w:rPr>
      </w:pPr>
    </w:p>
    <w:p w:rsidR="005E5A44" w:rsidRPr="00FA5D4B" w:rsidRDefault="005E5A44" w:rsidP="00E41BF9">
      <w:pPr>
        <w:rPr>
          <w:sz w:val="24"/>
          <w:szCs w:val="24"/>
        </w:rPr>
      </w:pPr>
      <w:r w:rsidRPr="00FA5D4B">
        <w:rPr>
          <w:sz w:val="24"/>
          <w:szCs w:val="24"/>
        </w:rPr>
        <w:t>CONDENSED CONSOLIDATED STATEMENT OF CHANGES IN EQUITY</w:t>
      </w:r>
    </w:p>
    <w:p w:rsidR="00E67AAD" w:rsidRPr="00FA5D4B" w:rsidRDefault="0077577D" w:rsidP="00E41BF9">
      <w:pPr>
        <w:rPr>
          <w:sz w:val="24"/>
          <w:szCs w:val="24"/>
        </w:rPr>
      </w:pPr>
      <w:r>
        <w:rPr>
          <w:noProof/>
          <w:sz w:val="24"/>
          <w:szCs w:val="24"/>
        </w:rPr>
        <w:pict>
          <v:shape id="_x0000_s1085" type="#_x0000_t75" style="position:absolute;margin-left:-8.35pt;margin-top:10.6pt;width:718pt;height:354.45pt;z-index:251654144">
            <v:imagedata r:id="rId14" o:title=""/>
            <w10:wrap type="square" side="right"/>
          </v:shape>
          <o:OLEObject Type="Embed" ProgID="Excel.Sheet.12" ShapeID="_x0000_s1085" DrawAspect="Content" ObjectID="_1576078827" r:id="rId15"/>
        </w:pict>
      </w:r>
    </w:p>
    <w:p w:rsidR="00520FBA" w:rsidRPr="00FA5D4B" w:rsidRDefault="00520FBA" w:rsidP="00E41BF9">
      <w:pPr>
        <w:rPr>
          <w:sz w:val="24"/>
          <w:szCs w:val="24"/>
        </w:rPr>
        <w:sectPr w:rsidR="00520FBA" w:rsidRPr="00FA5D4B" w:rsidSect="00FA5D4B">
          <w:headerReference w:type="default" r:id="rId16"/>
          <w:footerReference w:type="default" r:id="rId17"/>
          <w:pgSz w:w="16834" w:h="11909" w:orient="landscape" w:code="9"/>
          <w:pgMar w:top="720" w:right="720" w:bottom="720" w:left="720" w:header="720" w:footer="432" w:gutter="0"/>
          <w:cols w:space="720"/>
          <w:docGrid w:linePitch="326"/>
        </w:sectPr>
      </w:pPr>
    </w:p>
    <w:p w:rsidR="009E7160" w:rsidRPr="00FA5D4B" w:rsidRDefault="009E7160" w:rsidP="00E41BF9">
      <w:pPr>
        <w:rPr>
          <w:sz w:val="24"/>
          <w:szCs w:val="24"/>
        </w:rPr>
      </w:pPr>
      <w:r w:rsidRPr="00FA5D4B">
        <w:rPr>
          <w:sz w:val="24"/>
          <w:szCs w:val="24"/>
        </w:rPr>
        <w:lastRenderedPageBreak/>
        <w:t>BORNEO OIL BERHAD</w:t>
      </w:r>
    </w:p>
    <w:p w:rsidR="009E7160" w:rsidRPr="00FA5D4B" w:rsidRDefault="009E7160" w:rsidP="00E41BF9">
      <w:pPr>
        <w:rPr>
          <w:sz w:val="24"/>
          <w:szCs w:val="24"/>
        </w:rPr>
      </w:pPr>
      <w:r w:rsidRPr="00FA5D4B">
        <w:rPr>
          <w:sz w:val="24"/>
          <w:szCs w:val="24"/>
        </w:rPr>
        <w:t>(Company No. 121919-H)</w:t>
      </w:r>
    </w:p>
    <w:p w:rsidR="009E7160" w:rsidRPr="00FA5D4B" w:rsidRDefault="009E7160" w:rsidP="00E41BF9">
      <w:pPr>
        <w:rPr>
          <w:sz w:val="24"/>
          <w:szCs w:val="24"/>
        </w:rPr>
      </w:pPr>
      <w:r w:rsidRPr="00FA5D4B">
        <w:rPr>
          <w:sz w:val="24"/>
          <w:szCs w:val="24"/>
        </w:rPr>
        <w:t>Incorporated in Malaysia</w:t>
      </w:r>
    </w:p>
    <w:p w:rsidR="009E7160" w:rsidRPr="00FA5D4B" w:rsidRDefault="009E7160" w:rsidP="00E41BF9">
      <w:pPr>
        <w:rPr>
          <w:sz w:val="24"/>
          <w:szCs w:val="24"/>
        </w:rPr>
      </w:pPr>
      <w:r w:rsidRPr="00FA5D4B">
        <w:rPr>
          <w:sz w:val="24"/>
          <w:szCs w:val="24"/>
        </w:rPr>
        <w:t>QUARTERLY REPORT ON CONSOLIDATED RESULTS</w:t>
      </w:r>
    </w:p>
    <w:p w:rsidR="001A24EE" w:rsidRPr="00FA5D4B" w:rsidRDefault="009E7160" w:rsidP="00E41BF9">
      <w:pPr>
        <w:rPr>
          <w:sz w:val="24"/>
          <w:szCs w:val="24"/>
        </w:rPr>
      </w:pPr>
      <w:r w:rsidRPr="00FA5D4B">
        <w:rPr>
          <w:sz w:val="24"/>
          <w:szCs w:val="24"/>
        </w:rPr>
        <w:t xml:space="preserve">FOR </w:t>
      </w:r>
      <w:r w:rsidR="00CC6E4C" w:rsidRPr="00FA5D4B">
        <w:rPr>
          <w:sz w:val="24"/>
          <w:szCs w:val="24"/>
        </w:rPr>
        <w:t xml:space="preserve">THE </w:t>
      </w:r>
      <w:r w:rsidR="00736359" w:rsidRPr="00FA5D4B">
        <w:rPr>
          <w:sz w:val="24"/>
          <w:szCs w:val="24"/>
        </w:rPr>
        <w:t>THIRD</w:t>
      </w:r>
      <w:r w:rsidR="00B01AC7" w:rsidRPr="00FA5D4B">
        <w:rPr>
          <w:sz w:val="24"/>
          <w:szCs w:val="24"/>
        </w:rPr>
        <w:t xml:space="preserve"> QUARTER ENDED 3</w:t>
      </w:r>
      <w:r w:rsidR="00C837DE" w:rsidRPr="00FA5D4B">
        <w:rPr>
          <w:sz w:val="24"/>
          <w:szCs w:val="24"/>
        </w:rPr>
        <w:t xml:space="preserve">1 </w:t>
      </w:r>
      <w:r w:rsidR="00736359" w:rsidRPr="00FA5D4B">
        <w:rPr>
          <w:sz w:val="24"/>
          <w:szCs w:val="24"/>
        </w:rPr>
        <w:t>OCTOBER</w:t>
      </w:r>
      <w:r w:rsidR="00CC6E4C" w:rsidRPr="00FA5D4B">
        <w:rPr>
          <w:sz w:val="24"/>
          <w:szCs w:val="24"/>
        </w:rPr>
        <w:t xml:space="preserve"> 201</w:t>
      </w:r>
      <w:r w:rsidR="003F305F" w:rsidRPr="00FA5D4B">
        <w:rPr>
          <w:sz w:val="24"/>
          <w:szCs w:val="24"/>
        </w:rPr>
        <w:t>7</w:t>
      </w:r>
    </w:p>
    <w:p w:rsidR="009E7160" w:rsidRPr="00FA5D4B" w:rsidRDefault="009E7160" w:rsidP="00E41BF9">
      <w:pPr>
        <w:rPr>
          <w:sz w:val="24"/>
          <w:szCs w:val="24"/>
        </w:rPr>
      </w:pPr>
      <w:r w:rsidRPr="00FA5D4B">
        <w:rPr>
          <w:sz w:val="24"/>
          <w:szCs w:val="24"/>
        </w:rPr>
        <w:t>THE FIGURES HAVE NOT BEEN AUDITED</w:t>
      </w:r>
    </w:p>
    <w:p w:rsidR="009E7160" w:rsidRPr="00FA5D4B" w:rsidRDefault="009E7160" w:rsidP="00E41BF9">
      <w:pPr>
        <w:rPr>
          <w:sz w:val="24"/>
          <w:szCs w:val="24"/>
        </w:rPr>
      </w:pPr>
    </w:p>
    <w:p w:rsidR="003F67D3" w:rsidRPr="00FA5D4B" w:rsidRDefault="009E7160" w:rsidP="00E41BF9">
      <w:pPr>
        <w:rPr>
          <w:sz w:val="24"/>
          <w:szCs w:val="24"/>
        </w:rPr>
      </w:pPr>
      <w:r w:rsidRPr="00FA5D4B">
        <w:rPr>
          <w:sz w:val="24"/>
          <w:szCs w:val="24"/>
        </w:rPr>
        <w:t xml:space="preserve">CONSOLIDATED CASH FLOW STATEMENT </w:t>
      </w:r>
    </w:p>
    <w:p w:rsidR="008C2086" w:rsidRPr="00FA5D4B" w:rsidRDefault="008C2086" w:rsidP="00E41BF9">
      <w:pPr>
        <w:rPr>
          <w:sz w:val="24"/>
          <w:szCs w:val="24"/>
        </w:rPr>
      </w:pPr>
    </w:p>
    <w:p w:rsidR="003F67D3" w:rsidRPr="00FA5D4B" w:rsidRDefault="00FA5D4B" w:rsidP="00E41BF9">
      <w:pPr>
        <w:rPr>
          <w:sz w:val="24"/>
          <w:szCs w:val="24"/>
        </w:rPr>
      </w:pPr>
      <w:r w:rsidRPr="00FA5D4B">
        <w:rPr>
          <w:sz w:val="24"/>
          <w:szCs w:val="24"/>
        </w:rPr>
        <w:object w:dxaOrig="9629" w:dyaOrig="10911">
          <v:shape id="_x0000_i1028" type="#_x0000_t75" style="width:501.5pt;height:562.6pt" o:ole="">
            <v:imagedata r:id="rId18" o:title=""/>
          </v:shape>
          <o:OLEObject Type="Embed" ProgID="Excel.Sheet.12" ShapeID="_x0000_i1028" DrawAspect="Content" ObjectID="_1576078818" r:id="rId19"/>
        </w:object>
      </w:r>
    </w:p>
    <w:tbl>
      <w:tblPr>
        <w:tblW w:w="0" w:type="auto"/>
        <w:tblLayout w:type="fixed"/>
        <w:tblLook w:val="0000"/>
      </w:tblPr>
      <w:tblGrid>
        <w:gridCol w:w="1442"/>
        <w:gridCol w:w="270"/>
        <w:gridCol w:w="1440"/>
      </w:tblGrid>
      <w:tr w:rsidR="00CC2E19" w:rsidRPr="00FA5D4B">
        <w:tc>
          <w:tcPr>
            <w:tcW w:w="1442" w:type="dxa"/>
          </w:tcPr>
          <w:p w:rsidR="00CC2E19" w:rsidRPr="00FA5D4B" w:rsidRDefault="00CC2E19" w:rsidP="00E41BF9">
            <w:pPr>
              <w:pStyle w:val="BodyText3"/>
              <w:rPr>
                <w:sz w:val="24"/>
                <w:szCs w:val="24"/>
                <w:lang w:eastAsia="zh-CN"/>
              </w:rPr>
            </w:pPr>
          </w:p>
        </w:tc>
        <w:tc>
          <w:tcPr>
            <w:tcW w:w="270" w:type="dxa"/>
          </w:tcPr>
          <w:p w:rsidR="00CC2E19" w:rsidRPr="00FA5D4B" w:rsidRDefault="00CC2E19" w:rsidP="00E41BF9">
            <w:pPr>
              <w:pStyle w:val="BodyText3"/>
              <w:rPr>
                <w:sz w:val="24"/>
                <w:szCs w:val="24"/>
              </w:rPr>
            </w:pPr>
          </w:p>
        </w:tc>
        <w:tc>
          <w:tcPr>
            <w:tcW w:w="1440" w:type="dxa"/>
          </w:tcPr>
          <w:p w:rsidR="00CC2E19" w:rsidRPr="00FA5D4B" w:rsidRDefault="00CC2E19" w:rsidP="00E41BF9">
            <w:pPr>
              <w:pStyle w:val="BodyText3"/>
              <w:rPr>
                <w:sz w:val="24"/>
                <w:szCs w:val="24"/>
              </w:rPr>
            </w:pPr>
          </w:p>
        </w:tc>
      </w:tr>
    </w:tbl>
    <w:p w:rsidR="00687A95" w:rsidRDefault="00687A95" w:rsidP="00E41BF9">
      <w:pPr>
        <w:rPr>
          <w:sz w:val="24"/>
          <w:szCs w:val="24"/>
        </w:rPr>
      </w:pPr>
    </w:p>
    <w:p w:rsidR="00FA5D4B" w:rsidRPr="00FA5D4B" w:rsidRDefault="00FA5D4B" w:rsidP="00E41BF9">
      <w:pPr>
        <w:rPr>
          <w:sz w:val="24"/>
          <w:szCs w:val="24"/>
        </w:rPr>
      </w:pPr>
    </w:p>
    <w:p w:rsidR="00FD73C7" w:rsidRPr="00FA5D4B" w:rsidRDefault="00621639" w:rsidP="00FA5D4B">
      <w:pPr>
        <w:jc w:val="center"/>
        <w:rPr>
          <w:b w:val="0"/>
          <w:sz w:val="20"/>
          <w:szCs w:val="20"/>
        </w:rPr>
      </w:pPr>
      <w:r w:rsidRPr="00FA5D4B">
        <w:rPr>
          <w:b w:val="0"/>
          <w:sz w:val="20"/>
          <w:szCs w:val="20"/>
        </w:rPr>
        <w:t>5</w:t>
      </w:r>
    </w:p>
    <w:p w:rsidR="00FD73C7" w:rsidRPr="00FA5D4B" w:rsidRDefault="00FD73C7" w:rsidP="00E41BF9">
      <w:pPr>
        <w:rPr>
          <w:sz w:val="24"/>
          <w:szCs w:val="24"/>
        </w:rPr>
      </w:pPr>
      <w:r w:rsidRPr="00FA5D4B">
        <w:rPr>
          <w:sz w:val="24"/>
          <w:szCs w:val="24"/>
        </w:rPr>
        <w:lastRenderedPageBreak/>
        <w:t>BORNEO OIL BERHAD</w:t>
      </w:r>
    </w:p>
    <w:p w:rsidR="00FD73C7" w:rsidRPr="00FA5D4B" w:rsidRDefault="00FD73C7" w:rsidP="00E41BF9">
      <w:pPr>
        <w:rPr>
          <w:sz w:val="24"/>
          <w:szCs w:val="24"/>
        </w:rPr>
      </w:pPr>
      <w:r w:rsidRPr="00FA5D4B">
        <w:rPr>
          <w:sz w:val="24"/>
          <w:szCs w:val="24"/>
        </w:rPr>
        <w:t>(Company No. 121919-H)</w:t>
      </w:r>
    </w:p>
    <w:p w:rsidR="00FD73C7" w:rsidRPr="00FA5D4B" w:rsidRDefault="00FD73C7" w:rsidP="00E41BF9">
      <w:pPr>
        <w:rPr>
          <w:sz w:val="24"/>
          <w:szCs w:val="24"/>
        </w:rPr>
      </w:pPr>
      <w:r w:rsidRPr="00FA5D4B">
        <w:rPr>
          <w:sz w:val="24"/>
          <w:szCs w:val="24"/>
        </w:rPr>
        <w:t>Incorporated in Malaysia</w:t>
      </w:r>
    </w:p>
    <w:p w:rsidR="00FD73C7" w:rsidRPr="00FA5D4B" w:rsidRDefault="00FD73C7" w:rsidP="00E41BF9">
      <w:pPr>
        <w:rPr>
          <w:sz w:val="24"/>
          <w:szCs w:val="24"/>
        </w:rPr>
      </w:pPr>
      <w:r w:rsidRPr="00FA5D4B">
        <w:rPr>
          <w:sz w:val="24"/>
          <w:szCs w:val="24"/>
        </w:rPr>
        <w:t>QUARTERLY REPORT ON CONSOLIDATED RESULTS</w:t>
      </w:r>
    </w:p>
    <w:p w:rsidR="00FD73C7" w:rsidRPr="00FA5D4B" w:rsidRDefault="00FD73C7" w:rsidP="00E41BF9">
      <w:pPr>
        <w:rPr>
          <w:sz w:val="24"/>
          <w:szCs w:val="24"/>
        </w:rPr>
      </w:pPr>
      <w:r w:rsidRPr="00FA5D4B">
        <w:rPr>
          <w:sz w:val="24"/>
          <w:szCs w:val="24"/>
        </w:rPr>
        <w:t xml:space="preserve">FOR THE </w:t>
      </w:r>
      <w:r w:rsidR="00DF0478" w:rsidRPr="00FA5D4B">
        <w:rPr>
          <w:sz w:val="24"/>
          <w:szCs w:val="24"/>
        </w:rPr>
        <w:t>THIRD</w:t>
      </w:r>
      <w:r w:rsidRPr="00FA5D4B">
        <w:rPr>
          <w:sz w:val="24"/>
          <w:szCs w:val="24"/>
        </w:rPr>
        <w:t xml:space="preserve"> QUARTER ENDED 3</w:t>
      </w:r>
      <w:r w:rsidR="004D79C4" w:rsidRPr="00FA5D4B">
        <w:rPr>
          <w:sz w:val="24"/>
          <w:szCs w:val="24"/>
        </w:rPr>
        <w:t xml:space="preserve">1 </w:t>
      </w:r>
      <w:r w:rsidR="00DF0478" w:rsidRPr="00FA5D4B">
        <w:rPr>
          <w:sz w:val="24"/>
          <w:szCs w:val="24"/>
        </w:rPr>
        <w:t>OCTOBER</w:t>
      </w:r>
      <w:r w:rsidR="003F305F" w:rsidRPr="00FA5D4B">
        <w:rPr>
          <w:sz w:val="24"/>
          <w:szCs w:val="24"/>
        </w:rPr>
        <w:t xml:space="preserve"> 2017</w:t>
      </w:r>
    </w:p>
    <w:p w:rsidR="00FD73C7" w:rsidRPr="00FA5D4B" w:rsidRDefault="00FD73C7" w:rsidP="00E41BF9">
      <w:pPr>
        <w:rPr>
          <w:sz w:val="24"/>
          <w:szCs w:val="24"/>
        </w:rPr>
      </w:pPr>
      <w:r w:rsidRPr="00FA5D4B">
        <w:rPr>
          <w:sz w:val="24"/>
          <w:szCs w:val="24"/>
        </w:rPr>
        <w:t>THE FIGURES HAVE NOT BEEN AUDITED</w:t>
      </w:r>
    </w:p>
    <w:p w:rsidR="00FD73C7" w:rsidRPr="00FA5D4B" w:rsidRDefault="00FD73C7" w:rsidP="00E41BF9">
      <w:pPr>
        <w:rPr>
          <w:sz w:val="24"/>
          <w:szCs w:val="24"/>
        </w:rPr>
      </w:pPr>
    </w:p>
    <w:p w:rsidR="00FD73C7" w:rsidRPr="00FA5D4B" w:rsidRDefault="00FD73C7" w:rsidP="00E41BF9">
      <w:pPr>
        <w:rPr>
          <w:sz w:val="24"/>
          <w:szCs w:val="24"/>
        </w:rPr>
      </w:pPr>
      <w:r w:rsidRPr="00FA5D4B">
        <w:rPr>
          <w:sz w:val="24"/>
          <w:szCs w:val="24"/>
        </w:rPr>
        <w:t xml:space="preserve">CONSOLIDATED CASH FLOW STATEMENT </w:t>
      </w:r>
      <w:r w:rsidR="00F71642" w:rsidRPr="00FA5D4B">
        <w:rPr>
          <w:sz w:val="24"/>
          <w:szCs w:val="24"/>
        </w:rPr>
        <w:t>(Continue)</w:t>
      </w:r>
    </w:p>
    <w:p w:rsidR="00CC6E4C" w:rsidRPr="00FA5D4B" w:rsidRDefault="00CC6E4C" w:rsidP="00E41BF9">
      <w:pPr>
        <w:rPr>
          <w:sz w:val="24"/>
          <w:szCs w:val="24"/>
        </w:rPr>
      </w:pPr>
    </w:p>
    <w:tbl>
      <w:tblPr>
        <w:tblW w:w="28035" w:type="dxa"/>
        <w:tblInd w:w="93" w:type="dxa"/>
        <w:tblLook w:val="04A0"/>
      </w:tblPr>
      <w:tblGrid>
        <w:gridCol w:w="9640"/>
        <w:gridCol w:w="9345"/>
        <w:gridCol w:w="9345"/>
      </w:tblGrid>
      <w:tr w:rsidR="00B50FC6" w:rsidRPr="00FA5D4B" w:rsidTr="00B50FC6">
        <w:trPr>
          <w:trHeight w:val="300"/>
        </w:trPr>
        <w:tc>
          <w:tcPr>
            <w:tcW w:w="9345" w:type="dxa"/>
            <w:tcBorders>
              <w:top w:val="nil"/>
              <w:left w:val="nil"/>
              <w:bottom w:val="nil"/>
              <w:right w:val="nil"/>
            </w:tcBorders>
            <w:shd w:val="clear" w:color="auto" w:fill="auto"/>
            <w:noWrap/>
            <w:hideMark/>
          </w:tcPr>
          <w:p w:rsidR="00B50FC6" w:rsidRPr="00FA5D4B" w:rsidRDefault="00B84DA9" w:rsidP="00E41BF9">
            <w:pPr>
              <w:rPr>
                <w:sz w:val="24"/>
                <w:szCs w:val="24"/>
              </w:rPr>
            </w:pPr>
            <w:r w:rsidRPr="00FA5D4B">
              <w:rPr>
                <w:sz w:val="24"/>
                <w:szCs w:val="24"/>
              </w:rPr>
              <w:object w:dxaOrig="9930" w:dyaOrig="11370">
                <v:shape id="_x0000_i1029" type="#_x0000_t75" style="width:471.35pt;height:533.3pt" o:ole="">
                  <v:imagedata r:id="rId20" o:title=""/>
                </v:shape>
                <o:OLEObject Type="Embed" ProgID="Excel.Sheet.12" ShapeID="_x0000_i1029" DrawAspect="Content" ObjectID="_1576078819" r:id="rId21"/>
              </w:object>
            </w:r>
          </w:p>
        </w:tc>
        <w:tc>
          <w:tcPr>
            <w:tcW w:w="9345" w:type="dxa"/>
            <w:tcBorders>
              <w:top w:val="nil"/>
              <w:left w:val="nil"/>
              <w:bottom w:val="nil"/>
              <w:right w:val="nil"/>
            </w:tcBorders>
            <w:shd w:val="clear" w:color="auto" w:fill="auto"/>
            <w:noWrap/>
            <w:hideMark/>
          </w:tcPr>
          <w:p w:rsidR="00B50FC6" w:rsidRPr="00FA5D4B" w:rsidRDefault="00B50FC6" w:rsidP="00E41BF9">
            <w:pPr>
              <w:rPr>
                <w:sz w:val="24"/>
                <w:szCs w:val="24"/>
              </w:rPr>
            </w:pPr>
            <w:r w:rsidRPr="00FA5D4B">
              <w:rPr>
                <w:sz w:val="24"/>
                <w:szCs w:val="24"/>
              </w:rPr>
              <w:object w:dxaOrig="9629" w:dyaOrig="10635">
                <v:shape id="_x0000_i1030" type="#_x0000_t75" style="width:456.3pt;height:499pt" o:ole="">
                  <v:imagedata r:id="rId22" o:title=""/>
                </v:shape>
                <o:OLEObject Type="Embed" ProgID="Excel.Sheet.12" ShapeID="_x0000_i1030" DrawAspect="Content" ObjectID="_1576078820" r:id="rId23"/>
              </w:object>
            </w:r>
          </w:p>
        </w:tc>
        <w:tc>
          <w:tcPr>
            <w:tcW w:w="9345" w:type="dxa"/>
            <w:tcBorders>
              <w:top w:val="nil"/>
              <w:left w:val="nil"/>
              <w:bottom w:val="nil"/>
              <w:right w:val="nil"/>
            </w:tcBorders>
            <w:shd w:val="clear" w:color="auto" w:fill="auto"/>
            <w:noWrap/>
            <w:hideMark/>
          </w:tcPr>
          <w:p w:rsidR="00B50FC6" w:rsidRPr="00FA5D4B" w:rsidRDefault="00B50FC6" w:rsidP="00E41BF9">
            <w:pPr>
              <w:rPr>
                <w:sz w:val="24"/>
                <w:szCs w:val="24"/>
              </w:rPr>
            </w:pPr>
            <w:r w:rsidRPr="00FA5D4B">
              <w:rPr>
                <w:sz w:val="24"/>
                <w:szCs w:val="24"/>
              </w:rPr>
              <w:object w:dxaOrig="9629" w:dyaOrig="10635">
                <v:shape id="_x0000_i1031" type="#_x0000_t75" style="width:456.3pt;height:499pt" o:ole="">
                  <v:imagedata r:id="rId22" o:title=""/>
                </v:shape>
                <o:OLEObject Type="Embed" ProgID="Excel.Sheet.12" ShapeID="_x0000_i1031" DrawAspect="Content" ObjectID="_1576078821" r:id="rId24"/>
              </w:object>
            </w:r>
          </w:p>
        </w:tc>
      </w:tr>
    </w:tbl>
    <w:p w:rsidR="00EB795B" w:rsidRPr="00FA5D4B" w:rsidRDefault="00EB795B" w:rsidP="00E41BF9">
      <w:pPr>
        <w:rPr>
          <w:sz w:val="24"/>
          <w:szCs w:val="24"/>
        </w:rPr>
      </w:pPr>
    </w:p>
    <w:p w:rsidR="002C33EF" w:rsidRPr="00FA5D4B" w:rsidRDefault="002C33EF" w:rsidP="00E41BF9">
      <w:pPr>
        <w:rPr>
          <w:sz w:val="24"/>
          <w:szCs w:val="24"/>
        </w:rPr>
      </w:pPr>
    </w:p>
    <w:p w:rsidR="00FA5D4B" w:rsidRPr="00FA5D4B" w:rsidRDefault="00036DEA" w:rsidP="00E41BF9">
      <w:pPr>
        <w:rPr>
          <w:b w:val="0"/>
          <w:sz w:val="24"/>
          <w:szCs w:val="24"/>
        </w:rPr>
      </w:pPr>
      <w:r w:rsidRPr="00FA5D4B">
        <w:rPr>
          <w:b w:val="0"/>
          <w:sz w:val="24"/>
          <w:szCs w:val="24"/>
        </w:rPr>
        <w:t>The condensed consolidated cash flow statements should be read in conjunction with the audited financial statements for the year ended 31 January 201</w:t>
      </w:r>
      <w:r w:rsidR="00C25B64" w:rsidRPr="00FA5D4B">
        <w:rPr>
          <w:b w:val="0"/>
          <w:sz w:val="24"/>
          <w:szCs w:val="24"/>
        </w:rPr>
        <w:t>7</w:t>
      </w:r>
      <w:r w:rsidRPr="00FA5D4B">
        <w:rPr>
          <w:b w:val="0"/>
          <w:sz w:val="24"/>
          <w:szCs w:val="24"/>
        </w:rPr>
        <w:t xml:space="preserve"> and the accompanying explanatory notes attached to the interim financial statements.</w:t>
      </w:r>
    </w:p>
    <w:p w:rsidR="00DF0478" w:rsidRPr="00FA5D4B" w:rsidRDefault="007A017B" w:rsidP="00E41BF9">
      <w:pPr>
        <w:rPr>
          <w:b w:val="0"/>
          <w:sz w:val="20"/>
          <w:szCs w:val="20"/>
        </w:rPr>
      </w:pPr>
      <w:r w:rsidRPr="00FA5D4B">
        <w:rPr>
          <w:sz w:val="24"/>
          <w:szCs w:val="24"/>
        </w:rPr>
        <w:t xml:space="preserve">    </w:t>
      </w:r>
      <w:r w:rsidR="00966FEE" w:rsidRPr="00FA5D4B">
        <w:rPr>
          <w:sz w:val="24"/>
          <w:szCs w:val="24"/>
        </w:rPr>
        <w:tab/>
      </w:r>
      <w:r w:rsidR="00966FEE" w:rsidRPr="00FA5D4B">
        <w:rPr>
          <w:sz w:val="24"/>
          <w:szCs w:val="24"/>
        </w:rPr>
        <w:tab/>
      </w:r>
      <w:r w:rsidR="00966FEE" w:rsidRPr="00FA5D4B">
        <w:rPr>
          <w:sz w:val="24"/>
          <w:szCs w:val="24"/>
        </w:rPr>
        <w:tab/>
      </w:r>
      <w:r w:rsidR="00966FEE" w:rsidRPr="00FA5D4B">
        <w:rPr>
          <w:sz w:val="24"/>
          <w:szCs w:val="24"/>
        </w:rPr>
        <w:tab/>
      </w:r>
      <w:r w:rsidR="00966FEE" w:rsidRPr="00FA5D4B">
        <w:rPr>
          <w:sz w:val="24"/>
          <w:szCs w:val="24"/>
        </w:rPr>
        <w:tab/>
      </w:r>
      <w:r w:rsidR="00966FEE" w:rsidRPr="00FA5D4B">
        <w:rPr>
          <w:sz w:val="24"/>
          <w:szCs w:val="24"/>
        </w:rPr>
        <w:tab/>
      </w:r>
      <w:r w:rsidR="00966FEE" w:rsidRPr="00FA5D4B">
        <w:rPr>
          <w:sz w:val="24"/>
          <w:szCs w:val="24"/>
        </w:rPr>
        <w:tab/>
      </w:r>
      <w:r w:rsidR="008A45AD" w:rsidRPr="00FA5D4B">
        <w:rPr>
          <w:b w:val="0"/>
          <w:sz w:val="20"/>
          <w:szCs w:val="20"/>
        </w:rPr>
        <w:t>6</w:t>
      </w:r>
    </w:p>
    <w:p w:rsidR="007A4D23" w:rsidRPr="00FA5D4B" w:rsidRDefault="007A4D23" w:rsidP="00E41BF9">
      <w:pPr>
        <w:rPr>
          <w:sz w:val="24"/>
          <w:szCs w:val="24"/>
        </w:rPr>
      </w:pPr>
      <w:r w:rsidRPr="00FA5D4B">
        <w:rPr>
          <w:sz w:val="24"/>
          <w:szCs w:val="24"/>
        </w:rPr>
        <w:lastRenderedPageBreak/>
        <w:t>BORNEO OIL BERHAD</w:t>
      </w:r>
    </w:p>
    <w:p w:rsidR="007A4D23" w:rsidRPr="00FA5D4B" w:rsidRDefault="007A4D23" w:rsidP="00E41BF9">
      <w:pPr>
        <w:rPr>
          <w:sz w:val="24"/>
          <w:szCs w:val="24"/>
        </w:rPr>
      </w:pPr>
      <w:r w:rsidRPr="00FA5D4B">
        <w:rPr>
          <w:sz w:val="24"/>
          <w:szCs w:val="24"/>
        </w:rPr>
        <w:t>(Company No. 121919-H)</w:t>
      </w:r>
    </w:p>
    <w:p w:rsidR="007A4D23" w:rsidRPr="00FA5D4B" w:rsidRDefault="007A4D23" w:rsidP="00E41BF9">
      <w:pPr>
        <w:rPr>
          <w:sz w:val="24"/>
          <w:szCs w:val="24"/>
        </w:rPr>
      </w:pPr>
      <w:r w:rsidRPr="00FA5D4B">
        <w:rPr>
          <w:sz w:val="24"/>
          <w:szCs w:val="24"/>
        </w:rPr>
        <w:t>Incorporated in Malaysia</w:t>
      </w:r>
    </w:p>
    <w:p w:rsidR="007A4D23" w:rsidRPr="00FA5D4B" w:rsidRDefault="007A4D23" w:rsidP="00E41BF9">
      <w:pPr>
        <w:rPr>
          <w:sz w:val="24"/>
          <w:szCs w:val="24"/>
        </w:rPr>
      </w:pPr>
    </w:p>
    <w:p w:rsidR="007A4D23" w:rsidRPr="00FA5D4B" w:rsidRDefault="007A4D23" w:rsidP="00E41BF9">
      <w:pPr>
        <w:rPr>
          <w:sz w:val="24"/>
          <w:szCs w:val="24"/>
        </w:rPr>
      </w:pPr>
      <w:r w:rsidRPr="00FA5D4B">
        <w:rPr>
          <w:sz w:val="24"/>
          <w:szCs w:val="24"/>
        </w:rPr>
        <w:t>Notes on the qu</w:t>
      </w:r>
      <w:r w:rsidR="008C2086" w:rsidRPr="00FA5D4B">
        <w:rPr>
          <w:sz w:val="24"/>
          <w:szCs w:val="24"/>
        </w:rPr>
        <w:t>arterly report – 3</w:t>
      </w:r>
      <w:r w:rsidR="007A017B" w:rsidRPr="00FA5D4B">
        <w:rPr>
          <w:sz w:val="24"/>
          <w:szCs w:val="24"/>
        </w:rPr>
        <w:t xml:space="preserve">1 </w:t>
      </w:r>
      <w:r w:rsidR="00DF0478" w:rsidRPr="00FA5D4B">
        <w:rPr>
          <w:sz w:val="24"/>
          <w:szCs w:val="24"/>
        </w:rPr>
        <w:t>October</w:t>
      </w:r>
      <w:r w:rsidR="008C2086" w:rsidRPr="00FA5D4B">
        <w:rPr>
          <w:sz w:val="24"/>
          <w:szCs w:val="24"/>
        </w:rPr>
        <w:t xml:space="preserve"> 201</w:t>
      </w:r>
      <w:r w:rsidR="00690DF7" w:rsidRPr="00FA5D4B">
        <w:rPr>
          <w:sz w:val="24"/>
          <w:szCs w:val="24"/>
        </w:rPr>
        <w:t>7</w:t>
      </w:r>
    </w:p>
    <w:p w:rsidR="007A4D23" w:rsidRPr="00FA5D4B" w:rsidRDefault="007A4D23" w:rsidP="00E41BF9">
      <w:pPr>
        <w:rPr>
          <w:sz w:val="24"/>
          <w:szCs w:val="24"/>
        </w:rPr>
      </w:pPr>
    </w:p>
    <w:p w:rsidR="003F67D3" w:rsidRPr="00FA5D4B" w:rsidRDefault="003F67D3" w:rsidP="00E41BF9">
      <w:pPr>
        <w:rPr>
          <w:sz w:val="24"/>
          <w:szCs w:val="24"/>
        </w:rPr>
      </w:pPr>
      <w:r w:rsidRPr="00FA5D4B">
        <w:rPr>
          <w:sz w:val="24"/>
          <w:szCs w:val="24"/>
        </w:rPr>
        <w:t xml:space="preserve"> A</w:t>
      </w:r>
      <w:r w:rsidR="007A4D23" w:rsidRPr="00FA5D4B">
        <w:rPr>
          <w:sz w:val="24"/>
          <w:szCs w:val="24"/>
        </w:rPr>
        <w:t>.</w:t>
      </w:r>
      <w:r w:rsidRPr="00FA5D4B">
        <w:rPr>
          <w:sz w:val="24"/>
          <w:szCs w:val="24"/>
        </w:rPr>
        <w:t xml:space="preserve"> E</w:t>
      </w:r>
      <w:r w:rsidR="007A4D23" w:rsidRPr="00FA5D4B">
        <w:rPr>
          <w:sz w:val="24"/>
          <w:szCs w:val="24"/>
        </w:rPr>
        <w:t xml:space="preserve">XPLANATORY NOTES AS PER </w:t>
      </w:r>
      <w:r w:rsidRPr="00FA5D4B">
        <w:rPr>
          <w:sz w:val="24"/>
          <w:szCs w:val="24"/>
        </w:rPr>
        <w:t>FRS 134</w:t>
      </w:r>
      <w:r w:rsidR="007A4D23" w:rsidRPr="00FA5D4B">
        <w:rPr>
          <w:sz w:val="24"/>
          <w:szCs w:val="24"/>
        </w:rPr>
        <w:t xml:space="preserve"> – INTERIM FINANCIAL REPORTING</w:t>
      </w:r>
      <w:r w:rsidRPr="00FA5D4B">
        <w:rPr>
          <w:sz w:val="24"/>
          <w:szCs w:val="24"/>
        </w:rPr>
        <w:t xml:space="preserve"> </w:t>
      </w:r>
    </w:p>
    <w:p w:rsidR="003F67D3" w:rsidRPr="00FA5D4B" w:rsidRDefault="003F67D3" w:rsidP="006C2398">
      <w:pPr>
        <w:pBdr>
          <w:bottom w:val="single" w:sz="4" w:space="1" w:color="auto"/>
        </w:pBdr>
        <w:rPr>
          <w:sz w:val="24"/>
          <w:szCs w:val="24"/>
        </w:rPr>
      </w:pPr>
    </w:p>
    <w:p w:rsidR="006C2398" w:rsidRPr="00FA5D4B" w:rsidRDefault="006C2398" w:rsidP="00E41BF9">
      <w:pPr>
        <w:rPr>
          <w:sz w:val="24"/>
          <w:szCs w:val="24"/>
        </w:rPr>
      </w:pPr>
    </w:p>
    <w:p w:rsidR="005C53EE" w:rsidRPr="00FA5D4B" w:rsidRDefault="005C53EE" w:rsidP="00E41BF9">
      <w:pPr>
        <w:rPr>
          <w:sz w:val="24"/>
          <w:szCs w:val="24"/>
        </w:rPr>
      </w:pPr>
    </w:p>
    <w:p w:rsidR="003F67D3" w:rsidRPr="00FA5D4B" w:rsidRDefault="007A4D23" w:rsidP="00E41BF9">
      <w:pPr>
        <w:rPr>
          <w:sz w:val="24"/>
          <w:szCs w:val="24"/>
        </w:rPr>
      </w:pPr>
      <w:r w:rsidRPr="00FA5D4B">
        <w:rPr>
          <w:sz w:val="24"/>
          <w:szCs w:val="24"/>
        </w:rPr>
        <w:t>A</w:t>
      </w:r>
      <w:r w:rsidR="003F67D3" w:rsidRPr="00FA5D4B">
        <w:rPr>
          <w:sz w:val="24"/>
          <w:szCs w:val="24"/>
        </w:rPr>
        <w:t>1.</w:t>
      </w:r>
      <w:r w:rsidR="003F67D3" w:rsidRPr="00FA5D4B">
        <w:rPr>
          <w:sz w:val="24"/>
          <w:szCs w:val="24"/>
        </w:rPr>
        <w:tab/>
        <w:t>Basis of preparation</w:t>
      </w:r>
    </w:p>
    <w:p w:rsidR="003F67D3" w:rsidRPr="00FA5D4B" w:rsidRDefault="003F67D3" w:rsidP="00E41BF9">
      <w:pPr>
        <w:rPr>
          <w:sz w:val="24"/>
          <w:szCs w:val="24"/>
        </w:rPr>
      </w:pPr>
    </w:p>
    <w:p w:rsidR="003F67D3" w:rsidRPr="00FA5D4B" w:rsidRDefault="003F67D3" w:rsidP="00292C85">
      <w:pPr>
        <w:ind w:left="720"/>
        <w:jc w:val="both"/>
        <w:rPr>
          <w:b w:val="0"/>
          <w:sz w:val="24"/>
          <w:szCs w:val="24"/>
        </w:rPr>
      </w:pPr>
      <w:r w:rsidRPr="00FA5D4B">
        <w:rPr>
          <w:b w:val="0"/>
          <w:sz w:val="24"/>
          <w:szCs w:val="24"/>
        </w:rPr>
        <w:t xml:space="preserve">The interim financial </w:t>
      </w:r>
      <w:r w:rsidR="007A4D23" w:rsidRPr="00FA5D4B">
        <w:rPr>
          <w:b w:val="0"/>
          <w:sz w:val="24"/>
          <w:szCs w:val="24"/>
        </w:rPr>
        <w:t>report</w:t>
      </w:r>
      <w:r w:rsidRPr="00FA5D4B">
        <w:rPr>
          <w:b w:val="0"/>
          <w:sz w:val="24"/>
          <w:szCs w:val="24"/>
        </w:rPr>
        <w:t xml:space="preserve"> </w:t>
      </w:r>
      <w:r w:rsidR="007A4D23" w:rsidRPr="00FA5D4B">
        <w:rPr>
          <w:b w:val="0"/>
          <w:sz w:val="24"/>
          <w:szCs w:val="24"/>
        </w:rPr>
        <w:t>is</w:t>
      </w:r>
      <w:r w:rsidRPr="00FA5D4B">
        <w:rPr>
          <w:b w:val="0"/>
          <w:sz w:val="24"/>
          <w:szCs w:val="24"/>
        </w:rPr>
        <w:t xml:space="preserve"> unaudited and ha</w:t>
      </w:r>
      <w:r w:rsidR="007A4D23" w:rsidRPr="00FA5D4B">
        <w:rPr>
          <w:b w:val="0"/>
          <w:sz w:val="24"/>
          <w:szCs w:val="24"/>
        </w:rPr>
        <w:t xml:space="preserve">s </w:t>
      </w:r>
      <w:r w:rsidRPr="00FA5D4B">
        <w:rPr>
          <w:b w:val="0"/>
          <w:sz w:val="24"/>
          <w:szCs w:val="24"/>
        </w:rPr>
        <w:t xml:space="preserve">been prepared in accordance with the requirements </w:t>
      </w:r>
      <w:r w:rsidR="00925656" w:rsidRPr="00FA5D4B">
        <w:rPr>
          <w:b w:val="0"/>
          <w:sz w:val="24"/>
          <w:szCs w:val="24"/>
        </w:rPr>
        <w:t xml:space="preserve">of MFRS </w:t>
      </w:r>
      <w:r w:rsidRPr="00FA5D4B">
        <w:rPr>
          <w:b w:val="0"/>
          <w:sz w:val="24"/>
          <w:szCs w:val="24"/>
        </w:rPr>
        <w:t>134</w:t>
      </w:r>
      <w:r w:rsidR="00925656" w:rsidRPr="00FA5D4B">
        <w:rPr>
          <w:b w:val="0"/>
          <w:sz w:val="24"/>
          <w:szCs w:val="24"/>
        </w:rPr>
        <w:t>:</w:t>
      </w:r>
      <w:r w:rsidRPr="00FA5D4B">
        <w:rPr>
          <w:b w:val="0"/>
          <w:sz w:val="24"/>
          <w:szCs w:val="24"/>
        </w:rPr>
        <w:t xml:space="preserve"> Interim Financial Reporting</w:t>
      </w:r>
      <w:r w:rsidR="00925656" w:rsidRPr="00FA5D4B">
        <w:rPr>
          <w:b w:val="0"/>
          <w:sz w:val="24"/>
          <w:szCs w:val="24"/>
        </w:rPr>
        <w:t xml:space="preserve"> and Chapter 9.22 of the</w:t>
      </w:r>
      <w:r w:rsidRPr="00FA5D4B">
        <w:rPr>
          <w:b w:val="0"/>
          <w:sz w:val="24"/>
          <w:szCs w:val="24"/>
        </w:rPr>
        <w:t xml:space="preserve"> Listing Requirements of Burs</w:t>
      </w:r>
      <w:r w:rsidR="00471C1F" w:rsidRPr="00FA5D4B">
        <w:rPr>
          <w:b w:val="0"/>
          <w:sz w:val="24"/>
          <w:szCs w:val="24"/>
        </w:rPr>
        <w:t xml:space="preserve">a Malaysia Securities </w:t>
      </w:r>
      <w:proofErr w:type="spellStart"/>
      <w:r w:rsidR="00471C1F" w:rsidRPr="00FA5D4B">
        <w:rPr>
          <w:b w:val="0"/>
          <w:sz w:val="24"/>
          <w:szCs w:val="24"/>
        </w:rPr>
        <w:t>Berhad</w:t>
      </w:r>
      <w:proofErr w:type="spellEnd"/>
      <w:r w:rsidR="00471C1F" w:rsidRPr="00FA5D4B">
        <w:rPr>
          <w:b w:val="0"/>
          <w:sz w:val="24"/>
          <w:szCs w:val="24"/>
        </w:rPr>
        <w:t>.</w:t>
      </w:r>
    </w:p>
    <w:p w:rsidR="00925656" w:rsidRPr="00FA5D4B" w:rsidRDefault="00925656" w:rsidP="00292C85">
      <w:pPr>
        <w:jc w:val="both"/>
        <w:rPr>
          <w:b w:val="0"/>
          <w:sz w:val="24"/>
          <w:szCs w:val="24"/>
        </w:rPr>
      </w:pPr>
    </w:p>
    <w:p w:rsidR="00925656" w:rsidRPr="00FA5D4B" w:rsidRDefault="00925656" w:rsidP="00292C85">
      <w:pPr>
        <w:ind w:left="720"/>
        <w:jc w:val="both"/>
        <w:rPr>
          <w:b w:val="0"/>
          <w:sz w:val="24"/>
          <w:szCs w:val="24"/>
        </w:rPr>
      </w:pPr>
      <w:r w:rsidRPr="00FA5D4B">
        <w:rPr>
          <w:b w:val="0"/>
          <w:sz w:val="24"/>
          <w:szCs w:val="24"/>
        </w:rPr>
        <w:t>The interim financial report should be read in conjunction with the audited financial statements of the Company for the year ended 31 January 201</w:t>
      </w:r>
      <w:r w:rsidR="0024270F" w:rsidRPr="00FA5D4B">
        <w:rPr>
          <w:b w:val="0"/>
          <w:sz w:val="24"/>
          <w:szCs w:val="24"/>
        </w:rPr>
        <w:t>7</w:t>
      </w:r>
      <w:r w:rsidRPr="00FA5D4B">
        <w:rPr>
          <w:b w:val="0"/>
          <w:sz w:val="24"/>
          <w:szCs w:val="24"/>
        </w:rPr>
        <w:t>. These explanatory notes attached to the interim financial report provide an explanation of events and transactions that are significant to an understanding of the changes in the financial position and performance of the Company since the financial year ended 31 January 201</w:t>
      </w:r>
      <w:r w:rsidR="0024270F" w:rsidRPr="00FA5D4B">
        <w:rPr>
          <w:b w:val="0"/>
          <w:sz w:val="24"/>
          <w:szCs w:val="24"/>
        </w:rPr>
        <w:t>7</w:t>
      </w:r>
      <w:r w:rsidRPr="00FA5D4B">
        <w:rPr>
          <w:b w:val="0"/>
          <w:sz w:val="24"/>
          <w:szCs w:val="24"/>
        </w:rPr>
        <w:t>.</w:t>
      </w:r>
    </w:p>
    <w:p w:rsidR="000C0BF9" w:rsidRPr="00FA5D4B" w:rsidRDefault="000C0BF9" w:rsidP="00396CA2">
      <w:pPr>
        <w:pStyle w:val="BodyText"/>
        <w:rPr>
          <w:b w:val="0"/>
          <w:sz w:val="24"/>
          <w:szCs w:val="24"/>
        </w:rPr>
      </w:pPr>
    </w:p>
    <w:p w:rsidR="00396CA2" w:rsidRPr="00FA5D4B" w:rsidRDefault="000C0BF9" w:rsidP="001C1EDB">
      <w:pPr>
        <w:ind w:left="720"/>
        <w:rPr>
          <w:b w:val="0"/>
          <w:sz w:val="24"/>
          <w:szCs w:val="24"/>
        </w:rPr>
      </w:pPr>
      <w:r w:rsidRPr="00FA5D4B">
        <w:rPr>
          <w:b w:val="0"/>
          <w:sz w:val="24"/>
          <w:szCs w:val="24"/>
        </w:rPr>
        <w:t xml:space="preserve">All </w:t>
      </w:r>
      <w:r w:rsidR="00396CA2" w:rsidRPr="00FA5D4B">
        <w:rPr>
          <w:b w:val="0"/>
          <w:sz w:val="24"/>
          <w:szCs w:val="24"/>
        </w:rPr>
        <w:t xml:space="preserve">the </w:t>
      </w:r>
      <w:r w:rsidR="008B253A" w:rsidRPr="00FA5D4B">
        <w:rPr>
          <w:b w:val="0"/>
          <w:sz w:val="24"/>
          <w:szCs w:val="24"/>
        </w:rPr>
        <w:t>M</w:t>
      </w:r>
      <w:r w:rsidRPr="00FA5D4B">
        <w:rPr>
          <w:b w:val="0"/>
          <w:sz w:val="24"/>
          <w:szCs w:val="24"/>
        </w:rPr>
        <w:t xml:space="preserve">FRSs </w:t>
      </w:r>
      <w:r w:rsidR="00396CA2" w:rsidRPr="00FA5D4B">
        <w:rPr>
          <w:b w:val="0"/>
          <w:sz w:val="24"/>
          <w:szCs w:val="24"/>
        </w:rPr>
        <w:t xml:space="preserve">and IC Interpretations </w:t>
      </w:r>
      <w:r w:rsidRPr="00FA5D4B">
        <w:rPr>
          <w:b w:val="0"/>
          <w:sz w:val="24"/>
          <w:szCs w:val="24"/>
        </w:rPr>
        <w:t xml:space="preserve">applicable </w:t>
      </w:r>
      <w:r w:rsidR="00396CA2" w:rsidRPr="00FA5D4B">
        <w:rPr>
          <w:b w:val="0"/>
          <w:sz w:val="24"/>
          <w:szCs w:val="24"/>
        </w:rPr>
        <w:t xml:space="preserve">to the Group </w:t>
      </w:r>
      <w:r w:rsidRPr="00FA5D4B">
        <w:rPr>
          <w:b w:val="0"/>
          <w:sz w:val="24"/>
          <w:szCs w:val="24"/>
        </w:rPr>
        <w:t>have been applied</w:t>
      </w:r>
      <w:r w:rsidR="00396CA2" w:rsidRPr="00FA5D4B">
        <w:rPr>
          <w:b w:val="0"/>
          <w:sz w:val="24"/>
          <w:szCs w:val="24"/>
        </w:rPr>
        <w:t xml:space="preserve"> in the preparation of the current quarter report </w:t>
      </w:r>
      <w:r w:rsidRPr="00FA5D4B">
        <w:rPr>
          <w:b w:val="0"/>
          <w:sz w:val="24"/>
          <w:szCs w:val="24"/>
        </w:rPr>
        <w:t>as in previous quarters</w:t>
      </w:r>
      <w:r w:rsidR="00396CA2" w:rsidRPr="00FA5D4B">
        <w:rPr>
          <w:b w:val="0"/>
          <w:sz w:val="24"/>
          <w:szCs w:val="24"/>
        </w:rPr>
        <w:t>.</w:t>
      </w:r>
    </w:p>
    <w:p w:rsidR="008D4FC3" w:rsidRPr="00FA5D4B" w:rsidRDefault="000C0BF9" w:rsidP="001C1EDB">
      <w:pPr>
        <w:ind w:left="720"/>
        <w:rPr>
          <w:b w:val="0"/>
          <w:sz w:val="24"/>
          <w:szCs w:val="24"/>
        </w:rPr>
      </w:pPr>
      <w:r w:rsidRPr="00FA5D4B">
        <w:rPr>
          <w:b w:val="0"/>
          <w:sz w:val="24"/>
          <w:szCs w:val="24"/>
        </w:rPr>
        <w:t xml:space="preserve"> </w:t>
      </w:r>
    </w:p>
    <w:p w:rsidR="000C0BF9" w:rsidRPr="00FA5D4B" w:rsidRDefault="000C0BF9" w:rsidP="00E41BF9">
      <w:pPr>
        <w:rPr>
          <w:b w:val="0"/>
          <w:sz w:val="24"/>
          <w:szCs w:val="24"/>
        </w:rPr>
      </w:pPr>
    </w:p>
    <w:p w:rsidR="008D4FC3" w:rsidRPr="00FA5D4B" w:rsidRDefault="008D4FC3" w:rsidP="00E41BF9">
      <w:pPr>
        <w:rPr>
          <w:sz w:val="24"/>
          <w:szCs w:val="24"/>
        </w:rPr>
      </w:pPr>
      <w:r w:rsidRPr="00FA5D4B">
        <w:rPr>
          <w:sz w:val="24"/>
          <w:szCs w:val="24"/>
        </w:rPr>
        <w:t>A2.</w:t>
      </w:r>
      <w:r w:rsidRPr="00FA5D4B">
        <w:rPr>
          <w:sz w:val="24"/>
          <w:szCs w:val="24"/>
        </w:rPr>
        <w:tab/>
        <w:t>Audit Report</w:t>
      </w:r>
    </w:p>
    <w:p w:rsidR="008D4FC3" w:rsidRPr="00FA5D4B" w:rsidRDefault="008D4FC3" w:rsidP="00E41BF9">
      <w:pPr>
        <w:rPr>
          <w:b w:val="0"/>
          <w:sz w:val="24"/>
          <w:szCs w:val="24"/>
        </w:rPr>
      </w:pPr>
    </w:p>
    <w:p w:rsidR="008D4FC3" w:rsidRPr="00FA5D4B" w:rsidRDefault="008D4FC3" w:rsidP="0082511C">
      <w:pPr>
        <w:ind w:left="720"/>
        <w:rPr>
          <w:b w:val="0"/>
          <w:sz w:val="24"/>
          <w:szCs w:val="24"/>
        </w:rPr>
      </w:pPr>
      <w:r w:rsidRPr="00FA5D4B">
        <w:rPr>
          <w:b w:val="0"/>
          <w:sz w:val="24"/>
          <w:szCs w:val="24"/>
        </w:rPr>
        <w:t>The auditors’ report on the audited financial statements for the year ended 31 January 201</w:t>
      </w:r>
      <w:r w:rsidR="0024270F" w:rsidRPr="00FA5D4B">
        <w:rPr>
          <w:b w:val="0"/>
          <w:sz w:val="24"/>
          <w:szCs w:val="24"/>
        </w:rPr>
        <w:t>7</w:t>
      </w:r>
      <w:r w:rsidRPr="00FA5D4B">
        <w:rPr>
          <w:b w:val="0"/>
          <w:sz w:val="24"/>
          <w:szCs w:val="24"/>
        </w:rPr>
        <w:t xml:space="preserve"> was not qualified.</w:t>
      </w:r>
    </w:p>
    <w:p w:rsidR="008D4FC3" w:rsidRPr="00FA5D4B" w:rsidRDefault="008D4FC3" w:rsidP="00E41BF9">
      <w:pPr>
        <w:rPr>
          <w:b w:val="0"/>
          <w:sz w:val="24"/>
          <w:szCs w:val="24"/>
        </w:rPr>
      </w:pPr>
    </w:p>
    <w:p w:rsidR="00FF5963" w:rsidRPr="00FA5D4B" w:rsidRDefault="00FF5963" w:rsidP="00E41BF9">
      <w:pPr>
        <w:rPr>
          <w:b w:val="0"/>
          <w:sz w:val="24"/>
          <w:szCs w:val="24"/>
        </w:rPr>
      </w:pPr>
    </w:p>
    <w:p w:rsidR="008D4FC3" w:rsidRPr="00FA5D4B" w:rsidRDefault="008D4FC3" w:rsidP="00E41BF9">
      <w:pPr>
        <w:rPr>
          <w:sz w:val="24"/>
          <w:szCs w:val="24"/>
        </w:rPr>
      </w:pPr>
      <w:r w:rsidRPr="00FA5D4B">
        <w:rPr>
          <w:sz w:val="24"/>
          <w:szCs w:val="24"/>
        </w:rPr>
        <w:t>A3.</w:t>
      </w:r>
      <w:r w:rsidRPr="00FA5D4B">
        <w:rPr>
          <w:sz w:val="24"/>
          <w:szCs w:val="24"/>
        </w:rPr>
        <w:tab/>
        <w:t>Seasonal or Cyclical Factors</w:t>
      </w:r>
    </w:p>
    <w:p w:rsidR="008D4FC3" w:rsidRPr="00FA5D4B" w:rsidRDefault="008D4FC3" w:rsidP="00E41BF9">
      <w:pPr>
        <w:pStyle w:val="BodyTextIndent3"/>
        <w:rPr>
          <w:rFonts w:ascii="Times New Roman" w:hAnsi="Times New Roman"/>
          <w:b w:val="0"/>
          <w:sz w:val="24"/>
          <w:szCs w:val="24"/>
        </w:rPr>
      </w:pPr>
    </w:p>
    <w:p w:rsidR="008D4FC3" w:rsidRPr="00FA5D4B" w:rsidRDefault="008D4FC3" w:rsidP="00E41BF9">
      <w:pPr>
        <w:pStyle w:val="BodyTextIndent3"/>
        <w:rPr>
          <w:rFonts w:ascii="Times New Roman" w:hAnsi="Times New Roman"/>
          <w:b w:val="0"/>
          <w:sz w:val="24"/>
          <w:szCs w:val="24"/>
        </w:rPr>
      </w:pPr>
      <w:r w:rsidRPr="00FA5D4B">
        <w:rPr>
          <w:rFonts w:ascii="Times New Roman" w:hAnsi="Times New Roman"/>
          <w:b w:val="0"/>
          <w:sz w:val="24"/>
          <w:szCs w:val="24"/>
        </w:rPr>
        <w:t>The operations of the Group generally move in tandem with the performance of the various industries undertaken.</w:t>
      </w:r>
    </w:p>
    <w:p w:rsidR="00FF5963" w:rsidRPr="00FA5D4B" w:rsidRDefault="00FF5963" w:rsidP="00E41BF9">
      <w:pPr>
        <w:rPr>
          <w:sz w:val="24"/>
          <w:szCs w:val="24"/>
        </w:rPr>
      </w:pPr>
    </w:p>
    <w:p w:rsidR="005C53EE" w:rsidRPr="00FA5D4B" w:rsidRDefault="005C53EE" w:rsidP="00E41BF9">
      <w:pPr>
        <w:rPr>
          <w:sz w:val="24"/>
          <w:szCs w:val="24"/>
        </w:rPr>
      </w:pPr>
    </w:p>
    <w:p w:rsidR="008D4FC3" w:rsidRPr="00FA5D4B" w:rsidRDefault="008D4FC3" w:rsidP="00E41BF9">
      <w:pPr>
        <w:rPr>
          <w:sz w:val="24"/>
          <w:szCs w:val="24"/>
        </w:rPr>
      </w:pPr>
      <w:r w:rsidRPr="00FA5D4B">
        <w:rPr>
          <w:sz w:val="24"/>
          <w:szCs w:val="24"/>
        </w:rPr>
        <w:t>A4.</w:t>
      </w:r>
      <w:r w:rsidRPr="00FA5D4B">
        <w:rPr>
          <w:sz w:val="24"/>
          <w:szCs w:val="24"/>
        </w:rPr>
        <w:tab/>
        <w:t xml:space="preserve">Unusual Items </w:t>
      </w:r>
    </w:p>
    <w:p w:rsidR="008D4FC3" w:rsidRPr="00FA5D4B" w:rsidRDefault="008D4FC3" w:rsidP="00E41BF9">
      <w:pPr>
        <w:rPr>
          <w:b w:val="0"/>
          <w:sz w:val="24"/>
          <w:szCs w:val="24"/>
        </w:rPr>
      </w:pPr>
    </w:p>
    <w:p w:rsidR="00CA5B45" w:rsidRPr="00FA5D4B" w:rsidRDefault="008D4FC3" w:rsidP="00292C85">
      <w:pPr>
        <w:ind w:left="720"/>
        <w:jc w:val="both"/>
        <w:rPr>
          <w:b w:val="0"/>
          <w:sz w:val="24"/>
          <w:szCs w:val="24"/>
        </w:rPr>
      </w:pPr>
      <w:r w:rsidRPr="00FA5D4B">
        <w:rPr>
          <w:b w:val="0"/>
          <w:sz w:val="24"/>
          <w:szCs w:val="24"/>
        </w:rPr>
        <w:t>During the quarter under review there were no items or events that arose, which affected assets, liabilities, equity, net income or cash flows, that were unusual by reason of their nature, size or incidence.</w:t>
      </w:r>
      <w:r w:rsidR="00E578E1" w:rsidRPr="00FA5D4B">
        <w:rPr>
          <w:b w:val="0"/>
          <w:sz w:val="24"/>
          <w:szCs w:val="24"/>
        </w:rPr>
        <w:t xml:space="preserve">   </w:t>
      </w:r>
    </w:p>
    <w:p w:rsidR="00CA5B45" w:rsidRDefault="00CA5B45" w:rsidP="00292C85">
      <w:pPr>
        <w:ind w:left="720"/>
        <w:jc w:val="both"/>
        <w:rPr>
          <w:b w:val="0"/>
          <w:sz w:val="24"/>
          <w:szCs w:val="24"/>
        </w:rPr>
      </w:pPr>
    </w:p>
    <w:p w:rsidR="00FA5D4B" w:rsidRPr="00FA5D4B" w:rsidRDefault="00FA5D4B" w:rsidP="00292C85">
      <w:pPr>
        <w:ind w:left="720"/>
        <w:jc w:val="both"/>
        <w:rPr>
          <w:b w:val="0"/>
          <w:sz w:val="24"/>
          <w:szCs w:val="24"/>
        </w:rPr>
      </w:pPr>
    </w:p>
    <w:p w:rsidR="00FA5D4B" w:rsidRPr="00FA5D4B" w:rsidRDefault="00FA5D4B" w:rsidP="00FA5D4B">
      <w:pPr>
        <w:rPr>
          <w:sz w:val="24"/>
          <w:szCs w:val="24"/>
        </w:rPr>
      </w:pPr>
      <w:r w:rsidRPr="00FA5D4B">
        <w:rPr>
          <w:sz w:val="24"/>
          <w:szCs w:val="24"/>
        </w:rPr>
        <w:t>A5.</w:t>
      </w:r>
      <w:r w:rsidRPr="00FA5D4B">
        <w:rPr>
          <w:sz w:val="24"/>
          <w:szCs w:val="24"/>
        </w:rPr>
        <w:tab/>
        <w:t>Changes in Estimates</w:t>
      </w:r>
    </w:p>
    <w:p w:rsidR="00FA5D4B" w:rsidRPr="00FA5D4B" w:rsidRDefault="00FA5D4B" w:rsidP="00FA5D4B">
      <w:pPr>
        <w:rPr>
          <w:b w:val="0"/>
          <w:sz w:val="24"/>
          <w:szCs w:val="24"/>
        </w:rPr>
      </w:pPr>
    </w:p>
    <w:p w:rsidR="00FA5D4B" w:rsidRPr="00FA5D4B" w:rsidRDefault="00FA5D4B" w:rsidP="00FA5D4B">
      <w:pPr>
        <w:ind w:left="720"/>
        <w:rPr>
          <w:b w:val="0"/>
          <w:sz w:val="24"/>
          <w:szCs w:val="24"/>
        </w:rPr>
      </w:pPr>
      <w:r w:rsidRPr="00FA5D4B">
        <w:rPr>
          <w:b w:val="0"/>
          <w:sz w:val="24"/>
          <w:szCs w:val="24"/>
        </w:rPr>
        <w:t>There were no changes in estimates of amounts reported that have a material effect on the results in the quarter under review.</w:t>
      </w:r>
    </w:p>
    <w:p w:rsidR="00640511" w:rsidRPr="00FA5D4B" w:rsidRDefault="00640511" w:rsidP="009727E4">
      <w:pPr>
        <w:ind w:left="720"/>
        <w:jc w:val="both"/>
        <w:rPr>
          <w:b w:val="0"/>
          <w:sz w:val="24"/>
          <w:szCs w:val="24"/>
        </w:rPr>
      </w:pPr>
    </w:p>
    <w:p w:rsidR="00640511" w:rsidRPr="00FA5D4B" w:rsidRDefault="00640511" w:rsidP="009727E4">
      <w:pPr>
        <w:ind w:left="720"/>
        <w:jc w:val="both"/>
        <w:rPr>
          <w:b w:val="0"/>
          <w:sz w:val="24"/>
          <w:szCs w:val="24"/>
        </w:rPr>
      </w:pPr>
    </w:p>
    <w:p w:rsidR="00FA5D4B" w:rsidRPr="00FA5D4B" w:rsidRDefault="00E578E1" w:rsidP="00FA5D4B">
      <w:pPr>
        <w:ind w:left="720"/>
        <w:jc w:val="both"/>
        <w:rPr>
          <w:b w:val="0"/>
          <w:sz w:val="24"/>
          <w:szCs w:val="24"/>
        </w:rPr>
      </w:pPr>
      <w:r w:rsidRPr="00FA5D4B">
        <w:rPr>
          <w:b w:val="0"/>
          <w:sz w:val="24"/>
          <w:szCs w:val="24"/>
        </w:rPr>
        <w:t xml:space="preserve">                                                   </w:t>
      </w:r>
    </w:p>
    <w:p w:rsidR="005C53EE" w:rsidRPr="00FA5D4B" w:rsidRDefault="008A45AD" w:rsidP="00292C85">
      <w:pPr>
        <w:ind w:left="720"/>
        <w:jc w:val="both"/>
        <w:rPr>
          <w:b w:val="0"/>
          <w:sz w:val="20"/>
          <w:szCs w:val="20"/>
        </w:rPr>
      </w:pP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r w:rsidRPr="00FA5D4B">
        <w:rPr>
          <w:b w:val="0"/>
          <w:sz w:val="20"/>
          <w:szCs w:val="20"/>
        </w:rPr>
        <w:t>7</w:t>
      </w:r>
    </w:p>
    <w:p w:rsidR="00A24AD2" w:rsidRPr="00FA5D4B" w:rsidRDefault="0077577D" w:rsidP="00E41BF9">
      <w:pPr>
        <w:rPr>
          <w:sz w:val="24"/>
          <w:szCs w:val="24"/>
        </w:rPr>
      </w:pPr>
      <w:r w:rsidRPr="0077577D">
        <w:rPr>
          <w:b w:val="0"/>
          <w:noProof/>
          <w:sz w:val="24"/>
          <w:szCs w:val="24"/>
        </w:rPr>
        <w:lastRenderedPageBreak/>
        <w:pict>
          <v:shapetype id="_x0000_t202" coordsize="21600,21600" o:spt="202" path="m,l,21600r21600,l21600,xe">
            <v:stroke joinstyle="miter"/>
            <v:path gradientshapeok="t" o:connecttype="rect"/>
          </v:shapetype>
          <v:shape id="_x0000_s1101" type="#_x0000_t202" style="position:absolute;margin-left:205.5pt;margin-top:1.8pt;width:120.4pt;height:4.2pt;z-index:251657216" stroked="f">
            <v:textbox style="mso-next-textbox:#_x0000_s1101">
              <w:txbxContent>
                <w:p w:rsidR="009A71F1" w:rsidRPr="0027055B" w:rsidRDefault="009A71F1" w:rsidP="0027055B"/>
              </w:txbxContent>
            </v:textbox>
          </v:shape>
        </w:pict>
      </w:r>
      <w:r w:rsidR="00A24AD2" w:rsidRPr="00FA5D4B">
        <w:rPr>
          <w:sz w:val="24"/>
          <w:szCs w:val="24"/>
        </w:rPr>
        <w:t>BORNEO OIL BERHAD</w:t>
      </w:r>
    </w:p>
    <w:p w:rsidR="00A24AD2" w:rsidRPr="00FA5D4B" w:rsidRDefault="00A24AD2" w:rsidP="00E41BF9">
      <w:pPr>
        <w:rPr>
          <w:sz w:val="24"/>
          <w:szCs w:val="24"/>
        </w:rPr>
      </w:pPr>
      <w:r w:rsidRPr="00FA5D4B">
        <w:rPr>
          <w:sz w:val="24"/>
          <w:szCs w:val="24"/>
        </w:rPr>
        <w:t>(Company No. 121919-H)</w:t>
      </w:r>
    </w:p>
    <w:p w:rsidR="00A24AD2" w:rsidRPr="00FA5D4B" w:rsidRDefault="00A24AD2" w:rsidP="00E41BF9">
      <w:pPr>
        <w:rPr>
          <w:sz w:val="24"/>
          <w:szCs w:val="24"/>
        </w:rPr>
      </w:pPr>
      <w:r w:rsidRPr="00FA5D4B">
        <w:rPr>
          <w:sz w:val="24"/>
          <w:szCs w:val="24"/>
        </w:rPr>
        <w:t>Incorporated in Malaysia</w:t>
      </w:r>
    </w:p>
    <w:p w:rsidR="00A24AD2" w:rsidRPr="00FA5D4B" w:rsidRDefault="00A24AD2" w:rsidP="00E41BF9">
      <w:pPr>
        <w:rPr>
          <w:sz w:val="24"/>
          <w:szCs w:val="24"/>
        </w:rPr>
      </w:pPr>
    </w:p>
    <w:p w:rsidR="005C0B79" w:rsidRPr="00FA5D4B" w:rsidRDefault="00A24AD2" w:rsidP="00E41BF9">
      <w:pPr>
        <w:rPr>
          <w:sz w:val="24"/>
          <w:szCs w:val="24"/>
        </w:rPr>
      </w:pPr>
      <w:r w:rsidRPr="00FA5D4B">
        <w:rPr>
          <w:sz w:val="24"/>
          <w:szCs w:val="24"/>
        </w:rPr>
        <w:t xml:space="preserve">Notes on the quarterly report – </w:t>
      </w:r>
      <w:r w:rsidR="00FF5963" w:rsidRPr="00FA5D4B">
        <w:rPr>
          <w:sz w:val="24"/>
          <w:szCs w:val="24"/>
        </w:rPr>
        <w:t>3</w:t>
      </w:r>
      <w:r w:rsidR="007A017B" w:rsidRPr="00FA5D4B">
        <w:rPr>
          <w:sz w:val="24"/>
          <w:szCs w:val="24"/>
        </w:rPr>
        <w:t xml:space="preserve">1 </w:t>
      </w:r>
      <w:r w:rsidR="00DF0478" w:rsidRPr="00FA5D4B">
        <w:rPr>
          <w:sz w:val="24"/>
          <w:szCs w:val="24"/>
        </w:rPr>
        <w:t>October</w:t>
      </w:r>
      <w:r w:rsidR="00CC1860" w:rsidRPr="00FA5D4B">
        <w:rPr>
          <w:sz w:val="24"/>
          <w:szCs w:val="24"/>
        </w:rPr>
        <w:t xml:space="preserve"> 201</w:t>
      </w:r>
      <w:r w:rsidR="00690DF7" w:rsidRPr="00FA5D4B">
        <w:rPr>
          <w:sz w:val="24"/>
          <w:szCs w:val="24"/>
        </w:rPr>
        <w:t>7</w:t>
      </w:r>
    </w:p>
    <w:p w:rsidR="006C2398" w:rsidRPr="00FA5D4B" w:rsidRDefault="006C2398" w:rsidP="006C2398">
      <w:pPr>
        <w:pBdr>
          <w:bottom w:val="single" w:sz="4" w:space="1" w:color="auto"/>
        </w:pBdr>
        <w:rPr>
          <w:sz w:val="24"/>
          <w:szCs w:val="24"/>
        </w:rPr>
      </w:pPr>
    </w:p>
    <w:p w:rsidR="006C2398" w:rsidRDefault="006C2398" w:rsidP="00E41BF9">
      <w:pPr>
        <w:rPr>
          <w:sz w:val="24"/>
          <w:szCs w:val="24"/>
        </w:rPr>
      </w:pPr>
    </w:p>
    <w:p w:rsidR="00FA5D4B" w:rsidRPr="00FA5D4B" w:rsidRDefault="00FA5D4B" w:rsidP="00E41BF9">
      <w:pPr>
        <w:rPr>
          <w:sz w:val="24"/>
          <w:szCs w:val="24"/>
        </w:rPr>
      </w:pPr>
    </w:p>
    <w:p w:rsidR="003F67D3" w:rsidRPr="00FA5D4B" w:rsidRDefault="001C73F9" w:rsidP="00E41BF9">
      <w:pPr>
        <w:rPr>
          <w:sz w:val="24"/>
          <w:szCs w:val="24"/>
        </w:rPr>
      </w:pPr>
      <w:r w:rsidRPr="00FA5D4B">
        <w:rPr>
          <w:sz w:val="24"/>
          <w:szCs w:val="24"/>
        </w:rPr>
        <w:t>A</w:t>
      </w:r>
      <w:r w:rsidR="00D732DF" w:rsidRPr="00FA5D4B">
        <w:rPr>
          <w:sz w:val="24"/>
          <w:szCs w:val="24"/>
        </w:rPr>
        <w:t>6</w:t>
      </w:r>
      <w:r w:rsidR="003F67D3" w:rsidRPr="00FA5D4B">
        <w:rPr>
          <w:sz w:val="24"/>
          <w:szCs w:val="24"/>
        </w:rPr>
        <w:t>.</w:t>
      </w:r>
      <w:r w:rsidR="003F67D3" w:rsidRPr="00FA5D4B">
        <w:rPr>
          <w:sz w:val="24"/>
          <w:szCs w:val="24"/>
        </w:rPr>
        <w:tab/>
      </w:r>
      <w:r w:rsidRPr="00FA5D4B">
        <w:rPr>
          <w:sz w:val="24"/>
          <w:szCs w:val="24"/>
        </w:rPr>
        <w:t xml:space="preserve">Issuance, Cancellations, Repurchases, Resale and Repayments of Debts and </w:t>
      </w:r>
      <w:r w:rsidR="003F67D3" w:rsidRPr="00FA5D4B">
        <w:rPr>
          <w:sz w:val="24"/>
          <w:szCs w:val="24"/>
        </w:rPr>
        <w:t>Equity Securities</w:t>
      </w:r>
    </w:p>
    <w:p w:rsidR="00AA70F9" w:rsidRPr="00FA5D4B" w:rsidRDefault="00AA70F9" w:rsidP="00E41BF9">
      <w:pPr>
        <w:rPr>
          <w:b w:val="0"/>
          <w:sz w:val="24"/>
          <w:szCs w:val="24"/>
        </w:rPr>
      </w:pPr>
    </w:p>
    <w:p w:rsidR="00FA5D4B" w:rsidRDefault="00D37605" w:rsidP="00FD27A3">
      <w:pPr>
        <w:spacing w:line="276" w:lineRule="auto"/>
        <w:rPr>
          <w:b w:val="0"/>
          <w:sz w:val="24"/>
          <w:szCs w:val="24"/>
        </w:rPr>
      </w:pPr>
      <w:r w:rsidRPr="00FA5D4B">
        <w:rPr>
          <w:b w:val="0"/>
          <w:sz w:val="24"/>
          <w:szCs w:val="24"/>
        </w:rPr>
        <w:tab/>
      </w:r>
      <w:r w:rsidR="00017BB2" w:rsidRPr="00FA5D4B">
        <w:rPr>
          <w:b w:val="0"/>
          <w:sz w:val="24"/>
          <w:szCs w:val="24"/>
        </w:rPr>
        <w:t>During the quarter</w:t>
      </w:r>
      <w:r w:rsidR="00FA5D4B">
        <w:rPr>
          <w:b w:val="0"/>
          <w:sz w:val="24"/>
          <w:szCs w:val="24"/>
        </w:rPr>
        <w:t>:</w:t>
      </w:r>
    </w:p>
    <w:p w:rsidR="00FA5D4B" w:rsidRDefault="00FA5D4B" w:rsidP="00CA7C9E">
      <w:pPr>
        <w:pStyle w:val="ListParagraph"/>
        <w:numPr>
          <w:ilvl w:val="0"/>
          <w:numId w:val="3"/>
        </w:numPr>
        <w:spacing w:line="276" w:lineRule="auto"/>
        <w:rPr>
          <w:b w:val="0"/>
          <w:sz w:val="24"/>
          <w:szCs w:val="24"/>
        </w:rPr>
      </w:pPr>
      <w:r>
        <w:rPr>
          <w:b w:val="0"/>
          <w:sz w:val="24"/>
          <w:szCs w:val="24"/>
        </w:rPr>
        <w:t xml:space="preserve">39,900,000 </w:t>
      </w:r>
      <w:r w:rsidR="00FD27A3">
        <w:rPr>
          <w:b w:val="0"/>
          <w:sz w:val="24"/>
          <w:szCs w:val="24"/>
        </w:rPr>
        <w:t xml:space="preserve">ordinary shares were repurchased </w:t>
      </w:r>
      <w:r>
        <w:rPr>
          <w:b w:val="0"/>
          <w:sz w:val="24"/>
          <w:szCs w:val="24"/>
        </w:rPr>
        <w:t>amounting to RM3</w:t>
      </w:r>
      <w:r w:rsidR="007250DF">
        <w:rPr>
          <w:b w:val="0"/>
          <w:sz w:val="24"/>
          <w:szCs w:val="24"/>
        </w:rPr>
        <w:t>.</w:t>
      </w:r>
      <w:r>
        <w:rPr>
          <w:b w:val="0"/>
          <w:sz w:val="24"/>
          <w:szCs w:val="24"/>
        </w:rPr>
        <w:t>9</w:t>
      </w:r>
      <w:r w:rsidR="007250DF">
        <w:rPr>
          <w:b w:val="0"/>
          <w:sz w:val="24"/>
          <w:szCs w:val="24"/>
        </w:rPr>
        <w:t>9 million.</w:t>
      </w:r>
    </w:p>
    <w:p w:rsidR="007250DF" w:rsidRDefault="00017BB2" w:rsidP="00CA7C9E">
      <w:pPr>
        <w:pStyle w:val="ListParagraph"/>
        <w:numPr>
          <w:ilvl w:val="0"/>
          <w:numId w:val="3"/>
        </w:numPr>
        <w:spacing w:line="276" w:lineRule="auto"/>
        <w:rPr>
          <w:b w:val="0"/>
          <w:sz w:val="24"/>
          <w:szCs w:val="24"/>
        </w:rPr>
      </w:pPr>
      <w:r w:rsidRPr="00FA5D4B">
        <w:rPr>
          <w:b w:val="0"/>
          <w:sz w:val="24"/>
          <w:szCs w:val="24"/>
        </w:rPr>
        <w:t xml:space="preserve">210,262,000 ESOS shares </w:t>
      </w:r>
      <w:r w:rsidR="00640511" w:rsidRPr="00FA5D4B">
        <w:rPr>
          <w:b w:val="0"/>
          <w:sz w:val="24"/>
          <w:szCs w:val="24"/>
        </w:rPr>
        <w:t>were issued</w:t>
      </w:r>
      <w:r w:rsidR="007250DF">
        <w:rPr>
          <w:b w:val="0"/>
          <w:sz w:val="24"/>
          <w:szCs w:val="24"/>
        </w:rPr>
        <w:t>,</w:t>
      </w:r>
      <w:r w:rsidR="00640511" w:rsidRPr="00FA5D4B">
        <w:rPr>
          <w:b w:val="0"/>
          <w:sz w:val="24"/>
          <w:szCs w:val="24"/>
        </w:rPr>
        <w:t xml:space="preserve"> </w:t>
      </w:r>
      <w:r w:rsidRPr="00FA5D4B">
        <w:rPr>
          <w:b w:val="0"/>
          <w:sz w:val="24"/>
          <w:szCs w:val="24"/>
        </w:rPr>
        <w:t xml:space="preserve">and </w:t>
      </w:r>
    </w:p>
    <w:p w:rsidR="0078633F" w:rsidRPr="00FA5D4B" w:rsidRDefault="00017BB2" w:rsidP="00CA7C9E">
      <w:pPr>
        <w:pStyle w:val="ListParagraph"/>
        <w:numPr>
          <w:ilvl w:val="0"/>
          <w:numId w:val="3"/>
        </w:numPr>
        <w:spacing w:line="276" w:lineRule="auto"/>
        <w:rPr>
          <w:b w:val="0"/>
          <w:sz w:val="24"/>
          <w:szCs w:val="24"/>
        </w:rPr>
      </w:pPr>
      <w:r w:rsidRPr="00FA5D4B">
        <w:rPr>
          <w:b w:val="0"/>
          <w:sz w:val="24"/>
          <w:szCs w:val="24"/>
        </w:rPr>
        <w:t xml:space="preserve">1,500,000 Warrant </w:t>
      </w:r>
      <w:r w:rsidR="0009493A" w:rsidRPr="00FA5D4B">
        <w:rPr>
          <w:b w:val="0"/>
          <w:sz w:val="24"/>
          <w:szCs w:val="24"/>
        </w:rPr>
        <w:t>B</w:t>
      </w:r>
      <w:r w:rsidRPr="00FA5D4B">
        <w:rPr>
          <w:b w:val="0"/>
          <w:sz w:val="24"/>
          <w:szCs w:val="24"/>
        </w:rPr>
        <w:t xml:space="preserve"> were </w:t>
      </w:r>
      <w:r w:rsidR="00640511" w:rsidRPr="00FA5D4B">
        <w:rPr>
          <w:b w:val="0"/>
          <w:sz w:val="24"/>
          <w:szCs w:val="24"/>
        </w:rPr>
        <w:t>converted</w:t>
      </w:r>
      <w:r w:rsidRPr="00FA5D4B">
        <w:rPr>
          <w:b w:val="0"/>
          <w:sz w:val="24"/>
          <w:szCs w:val="24"/>
        </w:rPr>
        <w:t>.</w:t>
      </w:r>
    </w:p>
    <w:p w:rsidR="00617D76" w:rsidRPr="00FA5D4B" w:rsidRDefault="00617D76" w:rsidP="00E41BF9">
      <w:pPr>
        <w:rPr>
          <w:b w:val="0"/>
          <w:sz w:val="24"/>
          <w:szCs w:val="24"/>
        </w:rPr>
      </w:pPr>
    </w:p>
    <w:p w:rsidR="00444027" w:rsidRPr="00FA5D4B" w:rsidRDefault="00444027" w:rsidP="00E41BF9">
      <w:pPr>
        <w:rPr>
          <w:b w:val="0"/>
          <w:sz w:val="24"/>
          <w:szCs w:val="24"/>
        </w:rPr>
      </w:pPr>
    </w:p>
    <w:p w:rsidR="003F67D3" w:rsidRPr="00FA5D4B" w:rsidRDefault="008B6A74" w:rsidP="00E41BF9">
      <w:pPr>
        <w:rPr>
          <w:sz w:val="24"/>
          <w:szCs w:val="24"/>
        </w:rPr>
      </w:pPr>
      <w:r w:rsidRPr="00FA5D4B">
        <w:rPr>
          <w:sz w:val="24"/>
          <w:szCs w:val="24"/>
        </w:rPr>
        <w:t>A</w:t>
      </w:r>
      <w:r w:rsidR="00D732DF" w:rsidRPr="00FA5D4B">
        <w:rPr>
          <w:sz w:val="24"/>
          <w:szCs w:val="24"/>
        </w:rPr>
        <w:t>7</w:t>
      </w:r>
      <w:r w:rsidR="003F67D3" w:rsidRPr="00FA5D4B">
        <w:rPr>
          <w:sz w:val="24"/>
          <w:szCs w:val="24"/>
        </w:rPr>
        <w:t>.</w:t>
      </w:r>
      <w:r w:rsidR="003F67D3" w:rsidRPr="00FA5D4B">
        <w:rPr>
          <w:sz w:val="24"/>
          <w:szCs w:val="24"/>
        </w:rPr>
        <w:tab/>
        <w:t>Dividends Paid</w:t>
      </w:r>
    </w:p>
    <w:p w:rsidR="003F67D3" w:rsidRPr="00FA5D4B" w:rsidRDefault="003F67D3" w:rsidP="00E41BF9">
      <w:pPr>
        <w:rPr>
          <w:b w:val="0"/>
          <w:sz w:val="24"/>
          <w:szCs w:val="24"/>
        </w:rPr>
      </w:pPr>
    </w:p>
    <w:p w:rsidR="003F67D3" w:rsidRPr="00FA5D4B" w:rsidRDefault="003F67D3" w:rsidP="00E41BF9">
      <w:pPr>
        <w:rPr>
          <w:b w:val="0"/>
          <w:sz w:val="24"/>
          <w:szCs w:val="24"/>
        </w:rPr>
      </w:pPr>
      <w:r w:rsidRPr="00FA5D4B">
        <w:rPr>
          <w:b w:val="0"/>
          <w:sz w:val="24"/>
          <w:szCs w:val="24"/>
        </w:rPr>
        <w:tab/>
        <w:t>There is no dividend paid</w:t>
      </w:r>
      <w:r w:rsidR="008B6A74" w:rsidRPr="00FA5D4B">
        <w:rPr>
          <w:b w:val="0"/>
          <w:sz w:val="24"/>
          <w:szCs w:val="24"/>
        </w:rPr>
        <w:t xml:space="preserve"> during the quarter under review.</w:t>
      </w:r>
    </w:p>
    <w:p w:rsidR="00181037" w:rsidRPr="00FA5D4B" w:rsidRDefault="00181037" w:rsidP="00E41BF9">
      <w:pPr>
        <w:rPr>
          <w:b w:val="0"/>
          <w:sz w:val="24"/>
          <w:szCs w:val="24"/>
        </w:rPr>
      </w:pPr>
    </w:p>
    <w:p w:rsidR="002D7515" w:rsidRPr="00FA5D4B" w:rsidRDefault="002D7515" w:rsidP="00E41BF9">
      <w:pPr>
        <w:rPr>
          <w:b w:val="0"/>
          <w:sz w:val="24"/>
          <w:szCs w:val="24"/>
        </w:rPr>
      </w:pPr>
    </w:p>
    <w:p w:rsidR="00181037" w:rsidRPr="00FA5D4B" w:rsidRDefault="00181037" w:rsidP="00E41BF9">
      <w:pPr>
        <w:rPr>
          <w:sz w:val="24"/>
          <w:szCs w:val="24"/>
        </w:rPr>
      </w:pPr>
      <w:r w:rsidRPr="00FA5D4B">
        <w:rPr>
          <w:sz w:val="24"/>
          <w:szCs w:val="24"/>
        </w:rPr>
        <w:t>A</w:t>
      </w:r>
      <w:r w:rsidR="00D732DF" w:rsidRPr="00FA5D4B">
        <w:rPr>
          <w:sz w:val="24"/>
          <w:szCs w:val="24"/>
        </w:rPr>
        <w:t>8</w:t>
      </w:r>
      <w:r w:rsidRPr="00FA5D4B">
        <w:rPr>
          <w:sz w:val="24"/>
          <w:szCs w:val="24"/>
        </w:rPr>
        <w:t>.    Valuation of Property, Plant &amp; Equipment</w:t>
      </w:r>
    </w:p>
    <w:p w:rsidR="00181037" w:rsidRPr="00FA5D4B" w:rsidRDefault="00181037" w:rsidP="00E41BF9">
      <w:pPr>
        <w:rPr>
          <w:b w:val="0"/>
          <w:sz w:val="24"/>
          <w:szCs w:val="24"/>
        </w:rPr>
      </w:pPr>
    </w:p>
    <w:p w:rsidR="00181037" w:rsidRPr="00FA5D4B" w:rsidRDefault="00181037" w:rsidP="00E41BF9">
      <w:pPr>
        <w:rPr>
          <w:b w:val="0"/>
          <w:sz w:val="24"/>
          <w:szCs w:val="24"/>
        </w:rPr>
      </w:pPr>
      <w:r w:rsidRPr="00FA5D4B">
        <w:rPr>
          <w:b w:val="0"/>
          <w:sz w:val="24"/>
          <w:szCs w:val="24"/>
        </w:rPr>
        <w:t xml:space="preserve">       </w:t>
      </w:r>
      <w:r w:rsidR="00C64CF3">
        <w:rPr>
          <w:b w:val="0"/>
          <w:sz w:val="24"/>
          <w:szCs w:val="24"/>
        </w:rPr>
        <w:t xml:space="preserve">   </w:t>
      </w:r>
      <w:r w:rsidR="0032186A" w:rsidRPr="00FA5D4B">
        <w:rPr>
          <w:b w:val="0"/>
          <w:sz w:val="24"/>
          <w:szCs w:val="24"/>
        </w:rPr>
        <w:t>The</w:t>
      </w:r>
      <w:r w:rsidR="00DD0EA3" w:rsidRPr="00FA5D4B">
        <w:rPr>
          <w:b w:val="0"/>
          <w:sz w:val="24"/>
          <w:szCs w:val="24"/>
        </w:rPr>
        <w:t xml:space="preserve">re </w:t>
      </w:r>
      <w:proofErr w:type="gramStart"/>
      <w:r w:rsidR="00DD0EA3" w:rsidRPr="00FA5D4B">
        <w:rPr>
          <w:b w:val="0"/>
          <w:sz w:val="24"/>
          <w:szCs w:val="24"/>
        </w:rPr>
        <w:t>were no valuation</w:t>
      </w:r>
      <w:proofErr w:type="gramEnd"/>
      <w:r w:rsidR="00DD0EA3" w:rsidRPr="00FA5D4B">
        <w:rPr>
          <w:b w:val="0"/>
          <w:sz w:val="24"/>
          <w:szCs w:val="24"/>
        </w:rPr>
        <w:t xml:space="preserve"> conducted during the quarter</w:t>
      </w:r>
      <w:r w:rsidR="00E52421" w:rsidRPr="00FA5D4B">
        <w:rPr>
          <w:b w:val="0"/>
          <w:sz w:val="24"/>
          <w:szCs w:val="24"/>
        </w:rPr>
        <w:t>.</w:t>
      </w:r>
      <w:r w:rsidRPr="00FA5D4B">
        <w:rPr>
          <w:b w:val="0"/>
          <w:sz w:val="24"/>
          <w:szCs w:val="24"/>
        </w:rPr>
        <w:t xml:space="preserve"> </w:t>
      </w:r>
    </w:p>
    <w:p w:rsidR="00181037" w:rsidRPr="00FA5D4B" w:rsidRDefault="0077577D" w:rsidP="00E41BF9">
      <w:pPr>
        <w:rPr>
          <w:b w:val="0"/>
          <w:sz w:val="24"/>
          <w:szCs w:val="24"/>
        </w:rPr>
      </w:pPr>
      <w:r>
        <w:rPr>
          <w:b w:val="0"/>
          <w:noProof/>
          <w:sz w:val="24"/>
          <w:szCs w:val="24"/>
        </w:rPr>
        <w:pict>
          <v:shape id="_x0000_s1090" type="#_x0000_t202" style="position:absolute;margin-left:220.5pt;margin-top:10.85pt;width:87.75pt;height:21.75pt;z-index:251655168" stroked="f">
            <v:textbox>
              <w:txbxContent>
                <w:p w:rsidR="00067E44" w:rsidRPr="00067E44" w:rsidRDefault="00067E44" w:rsidP="00E41BF9"/>
              </w:txbxContent>
            </v:textbox>
          </v:shape>
        </w:pict>
      </w:r>
    </w:p>
    <w:p w:rsidR="008D4FC3" w:rsidRPr="00FA5D4B" w:rsidRDefault="008D4FC3" w:rsidP="00E41BF9">
      <w:pPr>
        <w:rPr>
          <w:b w:val="0"/>
          <w:sz w:val="24"/>
          <w:szCs w:val="24"/>
        </w:rPr>
      </w:pPr>
    </w:p>
    <w:p w:rsidR="00181037" w:rsidRPr="00FA5D4B" w:rsidRDefault="00181037" w:rsidP="00E41BF9">
      <w:pPr>
        <w:rPr>
          <w:sz w:val="24"/>
          <w:szCs w:val="24"/>
        </w:rPr>
      </w:pPr>
      <w:r w:rsidRPr="00FA5D4B">
        <w:rPr>
          <w:sz w:val="24"/>
          <w:szCs w:val="24"/>
        </w:rPr>
        <w:t>A</w:t>
      </w:r>
      <w:r w:rsidR="00D732DF" w:rsidRPr="00FA5D4B">
        <w:rPr>
          <w:sz w:val="24"/>
          <w:szCs w:val="24"/>
        </w:rPr>
        <w:t>9</w:t>
      </w:r>
      <w:r w:rsidRPr="00FA5D4B">
        <w:rPr>
          <w:sz w:val="24"/>
          <w:szCs w:val="24"/>
        </w:rPr>
        <w:t xml:space="preserve">.   </w:t>
      </w:r>
      <w:r w:rsidR="003766AC" w:rsidRPr="00FA5D4B">
        <w:rPr>
          <w:sz w:val="24"/>
          <w:szCs w:val="24"/>
        </w:rPr>
        <w:t>Significant Event</w:t>
      </w:r>
    </w:p>
    <w:p w:rsidR="00181037" w:rsidRPr="00FA5D4B" w:rsidRDefault="0071406A" w:rsidP="00E41BF9">
      <w:pPr>
        <w:rPr>
          <w:b w:val="0"/>
          <w:sz w:val="24"/>
          <w:szCs w:val="24"/>
        </w:rPr>
      </w:pP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p>
    <w:p w:rsidR="00BC07B9" w:rsidRPr="00FA5D4B" w:rsidRDefault="00C64CF3" w:rsidP="00C64CF3">
      <w:pPr>
        <w:jc w:val="both"/>
        <w:rPr>
          <w:b w:val="0"/>
          <w:sz w:val="24"/>
          <w:szCs w:val="24"/>
        </w:rPr>
      </w:pPr>
      <w:r>
        <w:rPr>
          <w:b w:val="0"/>
          <w:sz w:val="24"/>
          <w:szCs w:val="24"/>
        </w:rPr>
        <w:t xml:space="preserve">         </w:t>
      </w:r>
      <w:r w:rsidR="006B536E" w:rsidRPr="00FA5D4B">
        <w:rPr>
          <w:b w:val="0"/>
          <w:sz w:val="24"/>
          <w:szCs w:val="24"/>
        </w:rPr>
        <w:t xml:space="preserve">There were no significant events </w:t>
      </w:r>
      <w:r w:rsidR="00CE6832" w:rsidRPr="00FA5D4B">
        <w:rPr>
          <w:b w:val="0"/>
          <w:sz w:val="24"/>
          <w:szCs w:val="24"/>
        </w:rPr>
        <w:t>during the quarter</w:t>
      </w:r>
      <w:r w:rsidR="004F694F" w:rsidRPr="00FA5D4B">
        <w:rPr>
          <w:b w:val="0"/>
          <w:sz w:val="24"/>
          <w:szCs w:val="24"/>
        </w:rPr>
        <w:t>.</w:t>
      </w:r>
    </w:p>
    <w:p w:rsidR="00A532DD" w:rsidRPr="00FA5D4B" w:rsidRDefault="00A532DD" w:rsidP="00292C85">
      <w:pPr>
        <w:ind w:left="720"/>
        <w:jc w:val="both"/>
        <w:rPr>
          <w:b w:val="0"/>
          <w:sz w:val="24"/>
          <w:szCs w:val="24"/>
        </w:rPr>
      </w:pPr>
    </w:p>
    <w:p w:rsidR="006C2398" w:rsidRPr="00FA5D4B" w:rsidRDefault="006C2398" w:rsidP="00292C85">
      <w:pPr>
        <w:ind w:left="720"/>
        <w:jc w:val="both"/>
        <w:rPr>
          <w:b w:val="0"/>
          <w:sz w:val="24"/>
          <w:szCs w:val="24"/>
        </w:rPr>
      </w:pPr>
    </w:p>
    <w:p w:rsidR="008D4FC3" w:rsidRPr="00FA5D4B" w:rsidRDefault="00CA5B45" w:rsidP="00E41BF9">
      <w:pPr>
        <w:rPr>
          <w:sz w:val="24"/>
          <w:szCs w:val="24"/>
        </w:rPr>
      </w:pPr>
      <w:r w:rsidRPr="00FA5D4B">
        <w:rPr>
          <w:sz w:val="24"/>
          <w:szCs w:val="24"/>
        </w:rPr>
        <w:t>A1</w:t>
      </w:r>
      <w:r w:rsidR="00D732DF" w:rsidRPr="00FA5D4B">
        <w:rPr>
          <w:sz w:val="24"/>
          <w:szCs w:val="24"/>
        </w:rPr>
        <w:t>0</w:t>
      </w:r>
      <w:r w:rsidR="008D4FC3" w:rsidRPr="00FA5D4B">
        <w:rPr>
          <w:sz w:val="24"/>
          <w:szCs w:val="24"/>
        </w:rPr>
        <w:t>.   Subsequent Events</w:t>
      </w:r>
    </w:p>
    <w:p w:rsidR="008D4FC3" w:rsidRPr="00FA5D4B" w:rsidRDefault="00BC07B9" w:rsidP="00E41BF9">
      <w:pPr>
        <w:rPr>
          <w:b w:val="0"/>
          <w:sz w:val="24"/>
          <w:szCs w:val="24"/>
        </w:rPr>
      </w:pPr>
      <w:r w:rsidRPr="00FA5D4B">
        <w:rPr>
          <w:b w:val="0"/>
          <w:sz w:val="24"/>
          <w:szCs w:val="24"/>
        </w:rPr>
        <w:tab/>
      </w:r>
    </w:p>
    <w:p w:rsidR="00BC07B9" w:rsidRPr="00FA5D4B" w:rsidRDefault="00C64CF3" w:rsidP="00E41BF9">
      <w:pPr>
        <w:rPr>
          <w:b w:val="0"/>
          <w:sz w:val="24"/>
          <w:szCs w:val="24"/>
        </w:rPr>
      </w:pPr>
      <w:r>
        <w:rPr>
          <w:b w:val="0"/>
          <w:sz w:val="24"/>
          <w:szCs w:val="24"/>
        </w:rPr>
        <w:t xml:space="preserve">          </w:t>
      </w:r>
      <w:r w:rsidR="00BC07B9" w:rsidRPr="00FA5D4B">
        <w:rPr>
          <w:b w:val="0"/>
          <w:sz w:val="24"/>
          <w:szCs w:val="24"/>
        </w:rPr>
        <w:t>There were no s</w:t>
      </w:r>
      <w:r w:rsidR="004F694F" w:rsidRPr="00FA5D4B">
        <w:rPr>
          <w:b w:val="0"/>
          <w:sz w:val="24"/>
          <w:szCs w:val="24"/>
        </w:rPr>
        <w:t>ubsequent</w:t>
      </w:r>
      <w:r w:rsidR="00BC07B9" w:rsidRPr="00FA5D4B">
        <w:rPr>
          <w:b w:val="0"/>
          <w:sz w:val="24"/>
          <w:szCs w:val="24"/>
        </w:rPr>
        <w:t xml:space="preserve"> events during the quarter.</w:t>
      </w:r>
    </w:p>
    <w:p w:rsidR="00BC07B9" w:rsidRDefault="00BC07B9" w:rsidP="00E41BF9">
      <w:pPr>
        <w:rPr>
          <w:b w:val="0"/>
          <w:sz w:val="24"/>
          <w:szCs w:val="24"/>
        </w:rPr>
      </w:pPr>
    </w:p>
    <w:p w:rsidR="00FA5D4B" w:rsidRPr="00FA5D4B" w:rsidRDefault="00FA5D4B" w:rsidP="00E41BF9">
      <w:pPr>
        <w:rPr>
          <w:b w:val="0"/>
          <w:sz w:val="24"/>
          <w:szCs w:val="24"/>
        </w:rPr>
      </w:pPr>
    </w:p>
    <w:p w:rsidR="00FA5D4B" w:rsidRPr="00FA5D4B" w:rsidRDefault="00FA5D4B" w:rsidP="00FA5D4B">
      <w:pPr>
        <w:rPr>
          <w:sz w:val="24"/>
          <w:szCs w:val="24"/>
        </w:rPr>
      </w:pPr>
      <w:r w:rsidRPr="00FA5D4B">
        <w:rPr>
          <w:sz w:val="24"/>
          <w:szCs w:val="24"/>
        </w:rPr>
        <w:t>A11.  Changes in Composition of the Group</w:t>
      </w:r>
    </w:p>
    <w:p w:rsidR="00FA5D4B" w:rsidRPr="00FA5D4B" w:rsidRDefault="00FA5D4B" w:rsidP="00FA5D4B">
      <w:pPr>
        <w:rPr>
          <w:b w:val="0"/>
          <w:sz w:val="24"/>
          <w:szCs w:val="24"/>
        </w:rPr>
      </w:pPr>
    </w:p>
    <w:p w:rsidR="00FA5D4B" w:rsidRPr="00FA5D4B" w:rsidRDefault="00FA5D4B" w:rsidP="00C64CF3">
      <w:pPr>
        <w:ind w:firstLine="630"/>
        <w:rPr>
          <w:b w:val="0"/>
          <w:sz w:val="24"/>
          <w:szCs w:val="24"/>
        </w:rPr>
      </w:pPr>
      <w:r w:rsidRPr="00FA5D4B">
        <w:rPr>
          <w:b w:val="0"/>
          <w:sz w:val="24"/>
          <w:szCs w:val="24"/>
        </w:rPr>
        <w:t xml:space="preserve">There </w:t>
      </w:r>
      <w:proofErr w:type="gramStart"/>
      <w:r w:rsidRPr="00FA5D4B">
        <w:rPr>
          <w:b w:val="0"/>
          <w:sz w:val="24"/>
          <w:szCs w:val="24"/>
        </w:rPr>
        <w:t>was no major changes</w:t>
      </w:r>
      <w:proofErr w:type="gramEnd"/>
      <w:r w:rsidRPr="00FA5D4B">
        <w:rPr>
          <w:b w:val="0"/>
          <w:sz w:val="24"/>
          <w:szCs w:val="24"/>
        </w:rPr>
        <w:t xml:space="preserve"> in the Group’s composition during the quarter.</w:t>
      </w:r>
    </w:p>
    <w:p w:rsidR="00FA5D4B" w:rsidRPr="00FA5D4B" w:rsidRDefault="00FA5D4B" w:rsidP="00FA5D4B">
      <w:pPr>
        <w:rPr>
          <w:b w:val="0"/>
          <w:sz w:val="24"/>
          <w:szCs w:val="24"/>
        </w:rPr>
      </w:pPr>
    </w:p>
    <w:p w:rsidR="00FA5D4B" w:rsidRPr="00FA5D4B" w:rsidRDefault="00FA5D4B" w:rsidP="00FA5D4B">
      <w:pPr>
        <w:rPr>
          <w:b w:val="0"/>
          <w:sz w:val="24"/>
          <w:szCs w:val="24"/>
        </w:rPr>
      </w:pPr>
    </w:p>
    <w:p w:rsidR="00FA5D4B" w:rsidRPr="00FA5D4B" w:rsidRDefault="00FA5D4B" w:rsidP="00FA5D4B">
      <w:pPr>
        <w:rPr>
          <w:sz w:val="24"/>
          <w:szCs w:val="24"/>
        </w:rPr>
      </w:pPr>
      <w:r w:rsidRPr="00FA5D4B">
        <w:rPr>
          <w:sz w:val="24"/>
          <w:szCs w:val="24"/>
        </w:rPr>
        <w:t>A12.  Changes in Contingent Liabilities or Contingent Assets</w:t>
      </w:r>
    </w:p>
    <w:p w:rsidR="00FA5D4B" w:rsidRPr="00FA5D4B" w:rsidRDefault="00FA5D4B" w:rsidP="00FA5D4B">
      <w:pPr>
        <w:rPr>
          <w:b w:val="0"/>
          <w:sz w:val="24"/>
          <w:szCs w:val="24"/>
        </w:rPr>
      </w:pPr>
    </w:p>
    <w:p w:rsidR="00FA5D4B" w:rsidRPr="00FA5D4B" w:rsidRDefault="00FA5D4B" w:rsidP="00C64CF3">
      <w:pPr>
        <w:ind w:left="630"/>
        <w:rPr>
          <w:b w:val="0"/>
          <w:sz w:val="24"/>
          <w:szCs w:val="24"/>
        </w:rPr>
      </w:pPr>
      <w:r w:rsidRPr="00FA5D4B">
        <w:rPr>
          <w:b w:val="0"/>
          <w:sz w:val="24"/>
          <w:szCs w:val="24"/>
        </w:rPr>
        <w:t>The Group’s contingent liabilities totaling RM 1.84 million comprises of corporate guarantees given on behalf of subsidiaries in securing banking facilities.</w:t>
      </w:r>
    </w:p>
    <w:p w:rsidR="00FA5D4B" w:rsidRPr="00FA5D4B" w:rsidRDefault="00FA5D4B" w:rsidP="00FA5D4B">
      <w:pPr>
        <w:rPr>
          <w:sz w:val="24"/>
          <w:szCs w:val="24"/>
        </w:rPr>
      </w:pPr>
    </w:p>
    <w:p w:rsidR="00FA5D4B" w:rsidRPr="00FA5D4B" w:rsidRDefault="00FA5D4B" w:rsidP="00FA5D4B">
      <w:pPr>
        <w:rPr>
          <w:sz w:val="24"/>
          <w:szCs w:val="24"/>
        </w:rPr>
      </w:pPr>
      <w:r w:rsidRPr="00FA5D4B">
        <w:rPr>
          <w:sz w:val="24"/>
          <w:szCs w:val="24"/>
        </w:rPr>
        <w:tab/>
      </w:r>
    </w:p>
    <w:p w:rsidR="00BC07B9" w:rsidRPr="00FA5D4B" w:rsidRDefault="00BC07B9" w:rsidP="00E41BF9">
      <w:pPr>
        <w:rPr>
          <w:b w:val="0"/>
          <w:sz w:val="24"/>
          <w:szCs w:val="24"/>
        </w:rPr>
      </w:pPr>
    </w:p>
    <w:p w:rsidR="00BC07B9" w:rsidRPr="00FA5D4B" w:rsidRDefault="00BC07B9" w:rsidP="00E41BF9">
      <w:pPr>
        <w:rPr>
          <w:b w:val="0"/>
          <w:sz w:val="24"/>
          <w:szCs w:val="24"/>
        </w:rPr>
      </w:pPr>
    </w:p>
    <w:p w:rsidR="00BC07B9" w:rsidRPr="00FA5D4B" w:rsidRDefault="00BC07B9" w:rsidP="00E41BF9">
      <w:pPr>
        <w:rPr>
          <w:b w:val="0"/>
          <w:sz w:val="24"/>
          <w:szCs w:val="24"/>
        </w:rPr>
      </w:pPr>
    </w:p>
    <w:p w:rsidR="00BC07B9" w:rsidRPr="00FA5D4B" w:rsidRDefault="00BC07B9" w:rsidP="00E41BF9">
      <w:pPr>
        <w:rPr>
          <w:b w:val="0"/>
          <w:sz w:val="24"/>
          <w:szCs w:val="24"/>
        </w:rPr>
      </w:pPr>
    </w:p>
    <w:p w:rsidR="00E52421" w:rsidRPr="00FA5D4B" w:rsidRDefault="00E52421" w:rsidP="00E41BF9">
      <w:pPr>
        <w:rPr>
          <w:sz w:val="24"/>
          <w:szCs w:val="24"/>
        </w:rPr>
      </w:pPr>
    </w:p>
    <w:p w:rsidR="004F694F" w:rsidRPr="00FA5D4B" w:rsidRDefault="008A45AD" w:rsidP="00FA5D4B">
      <w:pPr>
        <w:jc w:val="center"/>
        <w:rPr>
          <w:b w:val="0"/>
          <w:sz w:val="20"/>
          <w:szCs w:val="20"/>
        </w:rPr>
      </w:pPr>
      <w:r w:rsidRPr="00FA5D4B">
        <w:rPr>
          <w:b w:val="0"/>
          <w:sz w:val="20"/>
          <w:szCs w:val="20"/>
        </w:rPr>
        <w:t>8</w:t>
      </w:r>
    </w:p>
    <w:p w:rsidR="009A71F1" w:rsidRPr="00FA5D4B" w:rsidRDefault="009A71F1" w:rsidP="00E41BF9">
      <w:pPr>
        <w:rPr>
          <w:sz w:val="24"/>
          <w:szCs w:val="24"/>
        </w:rPr>
      </w:pPr>
      <w:r w:rsidRPr="00FA5D4B">
        <w:rPr>
          <w:sz w:val="24"/>
          <w:szCs w:val="24"/>
        </w:rPr>
        <w:lastRenderedPageBreak/>
        <w:t>BORNEO OIL BERHAD</w:t>
      </w:r>
    </w:p>
    <w:p w:rsidR="009A71F1" w:rsidRPr="00FA5D4B" w:rsidRDefault="009A71F1" w:rsidP="00E41BF9">
      <w:pPr>
        <w:rPr>
          <w:sz w:val="24"/>
          <w:szCs w:val="24"/>
        </w:rPr>
      </w:pPr>
      <w:r w:rsidRPr="00FA5D4B">
        <w:rPr>
          <w:sz w:val="24"/>
          <w:szCs w:val="24"/>
        </w:rPr>
        <w:t>(Company No. 121919-H)</w:t>
      </w:r>
    </w:p>
    <w:p w:rsidR="009A71F1" w:rsidRPr="00FA5D4B" w:rsidRDefault="009A71F1" w:rsidP="00E41BF9">
      <w:pPr>
        <w:rPr>
          <w:sz w:val="24"/>
          <w:szCs w:val="24"/>
        </w:rPr>
      </w:pPr>
      <w:r w:rsidRPr="00FA5D4B">
        <w:rPr>
          <w:sz w:val="24"/>
          <w:szCs w:val="24"/>
        </w:rPr>
        <w:t>Incorporated in Malaysia</w:t>
      </w:r>
    </w:p>
    <w:p w:rsidR="009A71F1" w:rsidRPr="00FA5D4B" w:rsidRDefault="009A71F1" w:rsidP="00E41BF9">
      <w:pPr>
        <w:rPr>
          <w:sz w:val="24"/>
          <w:szCs w:val="24"/>
        </w:rPr>
      </w:pPr>
    </w:p>
    <w:p w:rsidR="009A71F1" w:rsidRPr="00FA5D4B" w:rsidRDefault="009A71F1" w:rsidP="00E41BF9">
      <w:pPr>
        <w:rPr>
          <w:sz w:val="24"/>
          <w:szCs w:val="24"/>
        </w:rPr>
      </w:pPr>
      <w:r w:rsidRPr="00FA5D4B">
        <w:rPr>
          <w:sz w:val="24"/>
          <w:szCs w:val="24"/>
        </w:rPr>
        <w:t>Notes on the quarterly report – 3</w:t>
      </w:r>
      <w:r w:rsidR="00814079" w:rsidRPr="00FA5D4B">
        <w:rPr>
          <w:sz w:val="24"/>
          <w:szCs w:val="24"/>
        </w:rPr>
        <w:t xml:space="preserve">1 </w:t>
      </w:r>
      <w:r w:rsidR="00DF0478" w:rsidRPr="00FA5D4B">
        <w:rPr>
          <w:sz w:val="24"/>
          <w:szCs w:val="24"/>
        </w:rPr>
        <w:t>October</w:t>
      </w:r>
      <w:r w:rsidR="00A53A4D" w:rsidRPr="00FA5D4B">
        <w:rPr>
          <w:sz w:val="24"/>
          <w:szCs w:val="24"/>
        </w:rPr>
        <w:t xml:space="preserve"> </w:t>
      </w:r>
      <w:r w:rsidRPr="00FA5D4B">
        <w:rPr>
          <w:sz w:val="24"/>
          <w:szCs w:val="24"/>
        </w:rPr>
        <w:t>201</w:t>
      </w:r>
      <w:r w:rsidR="00690DF7" w:rsidRPr="00FA5D4B">
        <w:rPr>
          <w:sz w:val="24"/>
          <w:szCs w:val="24"/>
        </w:rPr>
        <w:t>7</w:t>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9A71F1" w:rsidRPr="00FA5D4B" w:rsidRDefault="009A71F1" w:rsidP="006C2398">
      <w:pPr>
        <w:pBdr>
          <w:bottom w:val="single" w:sz="4" w:space="1" w:color="auto"/>
        </w:pBdr>
        <w:rPr>
          <w:sz w:val="24"/>
          <w:szCs w:val="24"/>
        </w:rPr>
      </w:pPr>
    </w:p>
    <w:p w:rsidR="006C2398" w:rsidRDefault="006C2398" w:rsidP="00E41BF9">
      <w:pPr>
        <w:rPr>
          <w:sz w:val="24"/>
          <w:szCs w:val="24"/>
        </w:rPr>
      </w:pPr>
    </w:p>
    <w:p w:rsidR="00C64CF3" w:rsidRPr="00FA5D4B" w:rsidRDefault="00C64CF3" w:rsidP="00E41BF9">
      <w:pPr>
        <w:rPr>
          <w:sz w:val="24"/>
          <w:szCs w:val="24"/>
        </w:rPr>
      </w:pPr>
    </w:p>
    <w:p w:rsidR="00E559DC" w:rsidRPr="00FA5D4B" w:rsidRDefault="00E559DC" w:rsidP="00E41BF9">
      <w:pPr>
        <w:rPr>
          <w:sz w:val="24"/>
          <w:szCs w:val="24"/>
        </w:rPr>
      </w:pPr>
      <w:r w:rsidRPr="00FA5D4B">
        <w:rPr>
          <w:sz w:val="24"/>
          <w:szCs w:val="24"/>
        </w:rPr>
        <w:t>A1</w:t>
      </w:r>
      <w:r w:rsidR="00D732DF" w:rsidRPr="00FA5D4B">
        <w:rPr>
          <w:sz w:val="24"/>
          <w:szCs w:val="24"/>
        </w:rPr>
        <w:t>3</w:t>
      </w:r>
      <w:r w:rsidRPr="00FA5D4B">
        <w:rPr>
          <w:sz w:val="24"/>
          <w:szCs w:val="24"/>
        </w:rPr>
        <w:t>.</w:t>
      </w:r>
      <w:r w:rsidRPr="00FA5D4B">
        <w:rPr>
          <w:sz w:val="24"/>
          <w:szCs w:val="24"/>
        </w:rPr>
        <w:tab/>
        <w:t xml:space="preserve">Group Segmental Information </w:t>
      </w:r>
    </w:p>
    <w:p w:rsidR="00E559DC" w:rsidRPr="00FA5D4B" w:rsidRDefault="00E559DC" w:rsidP="00E41BF9">
      <w:pPr>
        <w:rPr>
          <w:sz w:val="24"/>
          <w:szCs w:val="24"/>
        </w:rPr>
      </w:pPr>
      <w:r w:rsidRPr="00FA5D4B">
        <w:rPr>
          <w:sz w:val="24"/>
          <w:szCs w:val="24"/>
        </w:rPr>
        <w:tab/>
      </w:r>
    </w:p>
    <w:p w:rsidR="00E559DC" w:rsidRDefault="00E559DC" w:rsidP="00E41BF9">
      <w:pPr>
        <w:rPr>
          <w:sz w:val="24"/>
          <w:szCs w:val="24"/>
        </w:rPr>
      </w:pPr>
      <w:r w:rsidRPr="00FA5D4B">
        <w:rPr>
          <w:sz w:val="24"/>
          <w:szCs w:val="24"/>
        </w:rPr>
        <w:tab/>
      </w:r>
      <w:proofErr w:type="gramStart"/>
      <w:r w:rsidRPr="00FA5D4B">
        <w:rPr>
          <w:b w:val="0"/>
          <w:sz w:val="24"/>
          <w:szCs w:val="24"/>
        </w:rPr>
        <w:t>Group segmental results by business activities</w:t>
      </w:r>
      <w:r w:rsidRPr="00FA5D4B">
        <w:rPr>
          <w:sz w:val="24"/>
          <w:szCs w:val="24"/>
        </w:rPr>
        <w:t>.</w:t>
      </w:r>
      <w:proofErr w:type="gramEnd"/>
    </w:p>
    <w:p w:rsidR="00C64CF3" w:rsidRDefault="00C64CF3" w:rsidP="00E41BF9">
      <w:pPr>
        <w:rPr>
          <w:sz w:val="24"/>
          <w:szCs w:val="24"/>
        </w:rPr>
      </w:pPr>
    </w:p>
    <w:p w:rsidR="00C64CF3" w:rsidRPr="00FA5D4B" w:rsidRDefault="00C64CF3" w:rsidP="00E41BF9">
      <w:pPr>
        <w:rPr>
          <w:sz w:val="24"/>
          <w:szCs w:val="24"/>
        </w:rPr>
      </w:pPr>
    </w:p>
    <w:p w:rsidR="00E559DC" w:rsidRPr="00FA5D4B" w:rsidRDefault="00E559DC" w:rsidP="00E41BF9">
      <w:pPr>
        <w:rPr>
          <w:sz w:val="24"/>
          <w:szCs w:val="24"/>
        </w:rPr>
      </w:pPr>
      <w:r w:rsidRPr="00FA5D4B">
        <w:rPr>
          <w:sz w:val="24"/>
          <w:szCs w:val="24"/>
        </w:rPr>
        <w:tab/>
      </w:r>
      <w:r w:rsidR="00C64CF3" w:rsidRPr="00FA5D4B">
        <w:rPr>
          <w:sz w:val="24"/>
          <w:szCs w:val="24"/>
        </w:rPr>
        <w:object w:dxaOrig="9373" w:dyaOrig="3620">
          <v:shape id="_x0000_i1032" type="#_x0000_t75" style="width:468.85pt;height:181.65pt" o:ole="">
            <v:imagedata r:id="rId25" o:title=""/>
          </v:shape>
          <o:OLEObject Type="Embed" ProgID="Excel.Sheet.12" ShapeID="_x0000_i1032" DrawAspect="Content" ObjectID="_1576078822" r:id="rId26"/>
        </w:object>
      </w:r>
    </w:p>
    <w:p w:rsidR="007C7662" w:rsidRPr="00FA5D4B" w:rsidRDefault="007C7662" w:rsidP="00E41BF9">
      <w:pPr>
        <w:rPr>
          <w:sz w:val="24"/>
          <w:szCs w:val="24"/>
        </w:rPr>
      </w:pPr>
    </w:p>
    <w:p w:rsidR="00461977" w:rsidRPr="00FA5D4B" w:rsidRDefault="00461977" w:rsidP="00E41BF9">
      <w:pPr>
        <w:rPr>
          <w:sz w:val="24"/>
          <w:szCs w:val="24"/>
        </w:rPr>
      </w:pPr>
      <w:r w:rsidRPr="00FA5D4B">
        <w:rPr>
          <w:sz w:val="24"/>
          <w:szCs w:val="24"/>
        </w:rPr>
        <w:tab/>
      </w:r>
    </w:p>
    <w:p w:rsidR="00953379" w:rsidRPr="00FA5D4B" w:rsidRDefault="00953379" w:rsidP="00E41BF9">
      <w:pPr>
        <w:rPr>
          <w:sz w:val="24"/>
          <w:szCs w:val="24"/>
        </w:rPr>
      </w:pPr>
    </w:p>
    <w:p w:rsidR="00733B76" w:rsidRPr="00FA5D4B" w:rsidRDefault="00E559DC" w:rsidP="00E41BF9">
      <w:pPr>
        <w:rPr>
          <w:sz w:val="24"/>
          <w:szCs w:val="24"/>
        </w:rPr>
      </w:pPr>
      <w:r w:rsidRPr="00FA5D4B">
        <w:rPr>
          <w:sz w:val="24"/>
          <w:szCs w:val="24"/>
        </w:rPr>
        <w:t xml:space="preserve">      A1</w:t>
      </w:r>
      <w:r w:rsidR="00D732DF" w:rsidRPr="00FA5D4B">
        <w:rPr>
          <w:sz w:val="24"/>
          <w:szCs w:val="24"/>
        </w:rPr>
        <w:t>4</w:t>
      </w:r>
      <w:r w:rsidRPr="00FA5D4B">
        <w:rPr>
          <w:sz w:val="24"/>
          <w:szCs w:val="24"/>
        </w:rPr>
        <w:t>.  Financial assets and liabilities</w:t>
      </w:r>
    </w:p>
    <w:p w:rsidR="00733B76" w:rsidRPr="00FA5D4B" w:rsidRDefault="00733B76" w:rsidP="00733B76">
      <w:pPr>
        <w:ind w:left="720"/>
        <w:jc w:val="both"/>
        <w:rPr>
          <w:b w:val="0"/>
          <w:sz w:val="24"/>
          <w:szCs w:val="24"/>
        </w:rPr>
      </w:pPr>
    </w:p>
    <w:p w:rsidR="00733B76" w:rsidRPr="00FA5D4B" w:rsidRDefault="00E559DC" w:rsidP="00733B76">
      <w:pPr>
        <w:ind w:left="720"/>
        <w:jc w:val="both"/>
        <w:rPr>
          <w:b w:val="0"/>
          <w:sz w:val="24"/>
          <w:szCs w:val="24"/>
        </w:rPr>
      </w:pPr>
      <w:r w:rsidRPr="00FA5D4B">
        <w:rPr>
          <w:b w:val="0"/>
          <w:sz w:val="24"/>
          <w:szCs w:val="24"/>
        </w:rPr>
        <w:t xml:space="preserve">The amount of financial assets of RM </w:t>
      </w:r>
      <w:r w:rsidR="00C01919" w:rsidRPr="00FA5D4B">
        <w:rPr>
          <w:b w:val="0"/>
          <w:sz w:val="24"/>
          <w:szCs w:val="24"/>
        </w:rPr>
        <w:t>4</w:t>
      </w:r>
      <w:r w:rsidR="008658F2" w:rsidRPr="00FA5D4B">
        <w:rPr>
          <w:b w:val="0"/>
          <w:sz w:val="24"/>
          <w:szCs w:val="24"/>
        </w:rPr>
        <w:t>54</w:t>
      </w:r>
      <w:r w:rsidRPr="00FA5D4B">
        <w:rPr>
          <w:b w:val="0"/>
          <w:sz w:val="24"/>
          <w:szCs w:val="24"/>
        </w:rPr>
        <w:t>,</w:t>
      </w:r>
      <w:r w:rsidR="008658F2" w:rsidRPr="00FA5D4B">
        <w:rPr>
          <w:b w:val="0"/>
          <w:sz w:val="24"/>
          <w:szCs w:val="24"/>
        </w:rPr>
        <w:t>420</w:t>
      </w:r>
      <w:r w:rsidRPr="00FA5D4B">
        <w:rPr>
          <w:b w:val="0"/>
          <w:sz w:val="24"/>
          <w:szCs w:val="24"/>
        </w:rPr>
        <w:t xml:space="preserve">,000 and financial liabilities of RM </w:t>
      </w:r>
      <w:r w:rsidR="008658F2" w:rsidRPr="00FA5D4B">
        <w:rPr>
          <w:b w:val="0"/>
          <w:sz w:val="24"/>
          <w:szCs w:val="24"/>
        </w:rPr>
        <w:t>4</w:t>
      </w:r>
      <w:r w:rsidR="00585E37" w:rsidRPr="00FA5D4B">
        <w:rPr>
          <w:b w:val="0"/>
          <w:sz w:val="24"/>
          <w:szCs w:val="24"/>
        </w:rPr>
        <w:t>40</w:t>
      </w:r>
      <w:r w:rsidRPr="00FA5D4B">
        <w:rPr>
          <w:b w:val="0"/>
          <w:sz w:val="24"/>
          <w:szCs w:val="24"/>
        </w:rPr>
        <w:t>,</w:t>
      </w:r>
      <w:r w:rsidR="00585E37" w:rsidRPr="00FA5D4B">
        <w:rPr>
          <w:b w:val="0"/>
          <w:sz w:val="24"/>
          <w:szCs w:val="24"/>
        </w:rPr>
        <w:t>520</w:t>
      </w:r>
      <w:r w:rsidRPr="00FA5D4B">
        <w:rPr>
          <w:b w:val="0"/>
          <w:sz w:val="24"/>
          <w:szCs w:val="24"/>
        </w:rPr>
        <w:t>,000 were related to unsold balance of gold spot contracts and the amount financed by the financial institution in respect of gold spot trading respectively.</w:t>
      </w:r>
    </w:p>
    <w:p w:rsidR="00E559DC" w:rsidRPr="00FA5D4B" w:rsidRDefault="00E559DC" w:rsidP="00292C85">
      <w:pPr>
        <w:jc w:val="both"/>
        <w:rPr>
          <w:b w:val="0"/>
          <w:sz w:val="24"/>
          <w:szCs w:val="24"/>
        </w:rPr>
      </w:pPr>
    </w:p>
    <w:p w:rsidR="00953379" w:rsidRPr="00FA5D4B" w:rsidRDefault="00953379" w:rsidP="00E41BF9">
      <w:pPr>
        <w:rPr>
          <w:sz w:val="24"/>
          <w:szCs w:val="24"/>
        </w:rPr>
      </w:pPr>
    </w:p>
    <w:p w:rsidR="00953379" w:rsidRPr="00FA5D4B" w:rsidRDefault="005A6347" w:rsidP="00E41BF9">
      <w:pPr>
        <w:rPr>
          <w:sz w:val="24"/>
          <w:szCs w:val="24"/>
        </w:rPr>
      </w:pPr>
      <w:r w:rsidRPr="00FA5D4B">
        <w:rPr>
          <w:sz w:val="24"/>
          <w:szCs w:val="24"/>
        </w:rPr>
        <w:t xml:space="preserve">       </w:t>
      </w:r>
      <w:r w:rsidR="005F73C4" w:rsidRPr="00FA5D4B">
        <w:rPr>
          <w:sz w:val="24"/>
          <w:szCs w:val="24"/>
        </w:rPr>
        <w:t xml:space="preserve">                                                         </w:t>
      </w:r>
    </w:p>
    <w:p w:rsidR="002E77C4" w:rsidRPr="00FA5D4B" w:rsidRDefault="0007375B" w:rsidP="00E41BF9">
      <w:pPr>
        <w:rPr>
          <w:sz w:val="24"/>
          <w:szCs w:val="24"/>
        </w:rPr>
      </w:pPr>
      <w:r w:rsidRPr="00FA5D4B">
        <w:rPr>
          <w:sz w:val="24"/>
          <w:szCs w:val="24"/>
        </w:rPr>
        <w:t xml:space="preserve">                </w:t>
      </w:r>
      <w:r w:rsidR="005A6347" w:rsidRPr="00FA5D4B">
        <w:rPr>
          <w:sz w:val="24"/>
          <w:szCs w:val="24"/>
        </w:rPr>
        <w:t xml:space="preserve">                       </w:t>
      </w:r>
      <w:r w:rsidRPr="00FA5D4B">
        <w:rPr>
          <w:sz w:val="24"/>
          <w:szCs w:val="24"/>
        </w:rPr>
        <w:t xml:space="preserve">                      </w:t>
      </w:r>
      <w:r w:rsidR="002E77C4" w:rsidRPr="00FA5D4B">
        <w:rPr>
          <w:sz w:val="24"/>
          <w:szCs w:val="24"/>
        </w:rPr>
        <w:tab/>
      </w:r>
    </w:p>
    <w:p w:rsidR="00841CF6" w:rsidRPr="00FA5D4B" w:rsidRDefault="00EC0377" w:rsidP="00E41BF9">
      <w:pPr>
        <w:rPr>
          <w:sz w:val="24"/>
          <w:szCs w:val="24"/>
        </w:rPr>
      </w:pPr>
      <w:r w:rsidRPr="00FA5D4B">
        <w:rPr>
          <w:sz w:val="24"/>
          <w:szCs w:val="24"/>
        </w:rPr>
        <w:t xml:space="preserve">          </w:t>
      </w:r>
      <w:r w:rsidR="005A6347" w:rsidRPr="00FA5D4B">
        <w:rPr>
          <w:sz w:val="24"/>
          <w:szCs w:val="24"/>
        </w:rPr>
        <w:t xml:space="preserve">                      </w:t>
      </w:r>
      <w:r w:rsidRPr="00FA5D4B">
        <w:rPr>
          <w:sz w:val="24"/>
          <w:szCs w:val="24"/>
        </w:rPr>
        <w:t xml:space="preserve">                          </w:t>
      </w:r>
    </w:p>
    <w:p w:rsidR="00C64CF3" w:rsidRDefault="00F977F4" w:rsidP="00E41BF9">
      <w:pPr>
        <w:rPr>
          <w:sz w:val="24"/>
          <w:szCs w:val="24"/>
        </w:rPr>
      </w:pPr>
      <w:r w:rsidRPr="00FA5D4B">
        <w:rPr>
          <w:sz w:val="24"/>
          <w:szCs w:val="24"/>
        </w:rPr>
        <w:t xml:space="preserve">                                                                                   </w:t>
      </w: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701BAC" w:rsidRPr="00FA5D4B" w:rsidRDefault="00F977F4" w:rsidP="00E41BF9">
      <w:pPr>
        <w:rPr>
          <w:sz w:val="24"/>
          <w:szCs w:val="24"/>
        </w:rPr>
      </w:pPr>
      <w:r w:rsidRPr="00FA5D4B">
        <w:rPr>
          <w:sz w:val="24"/>
          <w:szCs w:val="24"/>
        </w:rPr>
        <w:t xml:space="preserve">          </w:t>
      </w:r>
    </w:p>
    <w:p w:rsidR="00701BAC" w:rsidRPr="00FA5D4B" w:rsidRDefault="00701BAC" w:rsidP="00E41BF9">
      <w:pPr>
        <w:rPr>
          <w:sz w:val="24"/>
          <w:szCs w:val="24"/>
        </w:rPr>
      </w:pPr>
    </w:p>
    <w:p w:rsidR="00841CF6" w:rsidRPr="00C64CF3" w:rsidRDefault="005A6347" w:rsidP="00E41BF9">
      <w:pPr>
        <w:rPr>
          <w:b w:val="0"/>
          <w:sz w:val="20"/>
          <w:szCs w:val="20"/>
        </w:rPr>
      </w:pPr>
      <w:r w:rsidRPr="00FA5D4B">
        <w:rPr>
          <w:sz w:val="24"/>
          <w:szCs w:val="24"/>
        </w:rPr>
        <w:t xml:space="preserve">                </w:t>
      </w:r>
      <w:r w:rsidR="008A45AD" w:rsidRPr="00FA5D4B">
        <w:rPr>
          <w:sz w:val="24"/>
          <w:szCs w:val="24"/>
        </w:rPr>
        <w:tab/>
      </w:r>
      <w:r w:rsidR="008A45AD" w:rsidRPr="00FA5D4B">
        <w:rPr>
          <w:sz w:val="24"/>
          <w:szCs w:val="24"/>
        </w:rPr>
        <w:tab/>
      </w:r>
      <w:r w:rsidR="008A45AD" w:rsidRPr="00FA5D4B">
        <w:rPr>
          <w:sz w:val="24"/>
          <w:szCs w:val="24"/>
        </w:rPr>
        <w:tab/>
      </w:r>
      <w:r w:rsidR="008A45AD" w:rsidRPr="00FA5D4B">
        <w:rPr>
          <w:sz w:val="24"/>
          <w:szCs w:val="24"/>
        </w:rPr>
        <w:tab/>
      </w:r>
      <w:r w:rsidR="008A45AD" w:rsidRPr="00FA5D4B">
        <w:rPr>
          <w:sz w:val="24"/>
          <w:szCs w:val="24"/>
        </w:rPr>
        <w:tab/>
      </w:r>
      <w:r w:rsidR="008A45AD" w:rsidRPr="00FA5D4B">
        <w:rPr>
          <w:sz w:val="24"/>
          <w:szCs w:val="24"/>
        </w:rPr>
        <w:tab/>
      </w:r>
      <w:r w:rsidR="008A45AD" w:rsidRPr="00C64CF3">
        <w:rPr>
          <w:b w:val="0"/>
          <w:sz w:val="20"/>
          <w:szCs w:val="20"/>
        </w:rPr>
        <w:t>9</w:t>
      </w:r>
      <w:r w:rsidRPr="00C64CF3">
        <w:rPr>
          <w:b w:val="0"/>
          <w:sz w:val="20"/>
          <w:szCs w:val="20"/>
        </w:rPr>
        <w:t xml:space="preserve">            </w:t>
      </w:r>
      <w:r w:rsidR="001016A6" w:rsidRPr="00C64CF3">
        <w:rPr>
          <w:b w:val="0"/>
          <w:sz w:val="20"/>
          <w:szCs w:val="20"/>
        </w:rPr>
        <w:t xml:space="preserve">                                                            </w:t>
      </w:r>
      <w:r w:rsidR="00D466E4" w:rsidRPr="00C64CF3">
        <w:rPr>
          <w:b w:val="0"/>
          <w:sz w:val="20"/>
          <w:szCs w:val="20"/>
        </w:rPr>
        <w:t xml:space="preserve">  </w:t>
      </w:r>
      <w:r w:rsidR="001016A6" w:rsidRPr="00C64CF3">
        <w:rPr>
          <w:b w:val="0"/>
          <w:sz w:val="20"/>
          <w:szCs w:val="20"/>
        </w:rPr>
        <w:t xml:space="preserve">  </w:t>
      </w:r>
      <w:r w:rsidR="00701BAC" w:rsidRPr="00C64CF3">
        <w:rPr>
          <w:b w:val="0"/>
          <w:sz w:val="20"/>
          <w:szCs w:val="20"/>
        </w:rPr>
        <w:t xml:space="preserve">                                                  </w:t>
      </w:r>
    </w:p>
    <w:tbl>
      <w:tblPr>
        <w:tblW w:w="13735" w:type="dxa"/>
        <w:tblInd w:w="108" w:type="dxa"/>
        <w:tblLayout w:type="fixed"/>
        <w:tblLook w:val="0000"/>
      </w:tblPr>
      <w:tblGrid>
        <w:gridCol w:w="504"/>
        <w:gridCol w:w="9216"/>
        <w:gridCol w:w="504"/>
        <w:gridCol w:w="913"/>
        <w:gridCol w:w="504"/>
        <w:gridCol w:w="187"/>
        <w:gridCol w:w="504"/>
        <w:gridCol w:w="899"/>
        <w:gridCol w:w="504"/>
      </w:tblGrid>
      <w:tr w:rsidR="003F67D3" w:rsidRPr="00FA5D4B" w:rsidTr="006C2398">
        <w:trPr>
          <w:gridBefore w:val="1"/>
          <w:wBefore w:w="504" w:type="dxa"/>
          <w:trHeight w:val="162"/>
        </w:trPr>
        <w:tc>
          <w:tcPr>
            <w:tcW w:w="9720" w:type="dxa"/>
            <w:gridSpan w:val="2"/>
          </w:tcPr>
          <w:p w:rsidR="00953379" w:rsidRPr="00FA5D4B" w:rsidRDefault="00701BAC" w:rsidP="00E41BF9">
            <w:pPr>
              <w:rPr>
                <w:sz w:val="24"/>
                <w:szCs w:val="24"/>
              </w:rPr>
            </w:pPr>
            <w:r w:rsidRPr="00FA5D4B">
              <w:rPr>
                <w:sz w:val="24"/>
                <w:szCs w:val="24"/>
              </w:rPr>
              <w:lastRenderedPageBreak/>
              <w:t xml:space="preserve">   </w:t>
            </w:r>
            <w:r w:rsidR="007A070C" w:rsidRPr="00FA5D4B">
              <w:rPr>
                <w:sz w:val="24"/>
                <w:szCs w:val="24"/>
              </w:rPr>
              <w:t xml:space="preserve">                           </w:t>
            </w:r>
            <w:r w:rsidR="00EC0377" w:rsidRPr="00FA5D4B">
              <w:rPr>
                <w:sz w:val="24"/>
                <w:szCs w:val="24"/>
              </w:rPr>
              <w:t xml:space="preserve">                           </w:t>
            </w:r>
            <w:r w:rsidR="007A070C" w:rsidRPr="00FA5D4B">
              <w:rPr>
                <w:sz w:val="24"/>
                <w:szCs w:val="24"/>
              </w:rPr>
              <w:t xml:space="preserve"> </w:t>
            </w:r>
            <w:r w:rsidR="0034341A" w:rsidRPr="00FA5D4B">
              <w:rPr>
                <w:sz w:val="24"/>
                <w:szCs w:val="24"/>
              </w:rPr>
              <w:t xml:space="preserve">                                                                            </w:t>
            </w:r>
            <w:r w:rsidR="00514E1E" w:rsidRPr="00FA5D4B">
              <w:rPr>
                <w:sz w:val="24"/>
                <w:szCs w:val="24"/>
              </w:rPr>
              <w:t xml:space="preserve">                                                                                                                                                            </w:t>
            </w:r>
            <w:r w:rsidR="00964377" w:rsidRPr="00FA5D4B">
              <w:rPr>
                <w:sz w:val="24"/>
                <w:szCs w:val="24"/>
              </w:rPr>
              <w:t xml:space="preserve">                                                 </w:t>
            </w:r>
            <w:r w:rsidR="005A6347" w:rsidRPr="00FA5D4B">
              <w:rPr>
                <w:sz w:val="24"/>
                <w:szCs w:val="24"/>
              </w:rPr>
              <w:t xml:space="preserve">      </w:t>
            </w:r>
            <w:r w:rsidR="00953379" w:rsidRPr="00FA5D4B">
              <w:rPr>
                <w:sz w:val="24"/>
                <w:szCs w:val="24"/>
              </w:rPr>
              <w:t>BORNEO OIL BERHAD</w:t>
            </w:r>
          </w:p>
          <w:p w:rsidR="00953379" w:rsidRPr="00FA5D4B" w:rsidRDefault="00953379" w:rsidP="00E41BF9">
            <w:pPr>
              <w:rPr>
                <w:sz w:val="24"/>
                <w:szCs w:val="24"/>
              </w:rPr>
            </w:pPr>
            <w:r w:rsidRPr="00FA5D4B">
              <w:rPr>
                <w:sz w:val="24"/>
                <w:szCs w:val="24"/>
              </w:rPr>
              <w:t>(Company No. 121919-H)</w:t>
            </w:r>
          </w:p>
          <w:p w:rsidR="00953379" w:rsidRPr="00FA5D4B" w:rsidRDefault="00953379" w:rsidP="00E41BF9">
            <w:pPr>
              <w:rPr>
                <w:sz w:val="24"/>
                <w:szCs w:val="24"/>
              </w:rPr>
            </w:pPr>
            <w:r w:rsidRPr="00FA5D4B">
              <w:rPr>
                <w:sz w:val="24"/>
                <w:szCs w:val="24"/>
              </w:rPr>
              <w:t>Incorporated in Malaysia</w:t>
            </w:r>
          </w:p>
          <w:p w:rsidR="00953379" w:rsidRPr="00FA5D4B" w:rsidRDefault="00953379" w:rsidP="00E41BF9">
            <w:pPr>
              <w:rPr>
                <w:sz w:val="24"/>
                <w:szCs w:val="24"/>
              </w:rPr>
            </w:pPr>
          </w:p>
          <w:p w:rsidR="00953379" w:rsidRPr="00FA5D4B" w:rsidRDefault="00953379" w:rsidP="00E41BF9">
            <w:pPr>
              <w:rPr>
                <w:sz w:val="24"/>
                <w:szCs w:val="24"/>
              </w:rPr>
            </w:pPr>
            <w:r w:rsidRPr="00FA5D4B">
              <w:rPr>
                <w:sz w:val="24"/>
                <w:szCs w:val="24"/>
              </w:rPr>
              <w:t>Notes on the quarterly report – 3</w:t>
            </w:r>
            <w:r w:rsidR="00745C22" w:rsidRPr="00FA5D4B">
              <w:rPr>
                <w:sz w:val="24"/>
                <w:szCs w:val="24"/>
              </w:rPr>
              <w:t xml:space="preserve">1 </w:t>
            </w:r>
            <w:r w:rsidR="00DF0478" w:rsidRPr="00FA5D4B">
              <w:rPr>
                <w:sz w:val="24"/>
                <w:szCs w:val="24"/>
              </w:rPr>
              <w:t>October</w:t>
            </w:r>
            <w:r w:rsidRPr="00FA5D4B">
              <w:rPr>
                <w:sz w:val="24"/>
                <w:szCs w:val="24"/>
              </w:rPr>
              <w:t xml:space="preserve"> 2017</w:t>
            </w:r>
          </w:p>
          <w:p w:rsidR="008D4FC3" w:rsidRPr="00FA5D4B" w:rsidRDefault="00953379" w:rsidP="00E41BF9">
            <w:pPr>
              <w:rPr>
                <w:sz w:val="24"/>
                <w:szCs w:val="24"/>
              </w:rPr>
            </w:pP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6C2398" w:rsidRPr="00FA5D4B" w:rsidRDefault="006C2398" w:rsidP="00E41BF9">
            <w:pPr>
              <w:rPr>
                <w:sz w:val="24"/>
                <w:szCs w:val="24"/>
              </w:rPr>
            </w:pPr>
          </w:p>
          <w:p w:rsidR="00DD3C30" w:rsidRPr="00FA5D4B" w:rsidRDefault="00094628" w:rsidP="004F694F">
            <w:pPr>
              <w:ind w:left="558" w:hanging="540"/>
              <w:rPr>
                <w:sz w:val="24"/>
                <w:szCs w:val="24"/>
              </w:rPr>
            </w:pPr>
            <w:r w:rsidRPr="00FA5D4B">
              <w:rPr>
                <w:sz w:val="24"/>
                <w:szCs w:val="24"/>
              </w:rPr>
              <w:t xml:space="preserve">B.      ADDITIONAL INFORMATION REQUIRED BY BURSA MALAYSIA </w:t>
            </w:r>
            <w:r w:rsidR="00471C1F" w:rsidRPr="00FA5D4B">
              <w:rPr>
                <w:sz w:val="24"/>
                <w:szCs w:val="24"/>
              </w:rPr>
              <w:t xml:space="preserve">SECURITIES BERHAD </w:t>
            </w:r>
            <w:r w:rsidRPr="00FA5D4B">
              <w:rPr>
                <w:sz w:val="24"/>
                <w:szCs w:val="24"/>
              </w:rPr>
              <w:t>LISTING REQUIREMENTS</w:t>
            </w:r>
          </w:p>
          <w:p w:rsidR="00E6034C" w:rsidRPr="00FA5D4B" w:rsidRDefault="00E6034C" w:rsidP="00E41BF9">
            <w:pPr>
              <w:rPr>
                <w:sz w:val="24"/>
                <w:szCs w:val="24"/>
              </w:rPr>
            </w:pPr>
          </w:p>
          <w:p w:rsidR="002F1761" w:rsidRPr="00FA5D4B" w:rsidRDefault="002F1761" w:rsidP="00E41BF9">
            <w:pPr>
              <w:rPr>
                <w:sz w:val="24"/>
                <w:szCs w:val="24"/>
              </w:rPr>
            </w:pPr>
          </w:p>
          <w:p w:rsidR="00FA5D4B" w:rsidRPr="00FA5D4B" w:rsidRDefault="00FA5D4B" w:rsidP="00FA5D4B">
            <w:pPr>
              <w:rPr>
                <w:rFonts w:eastAsia="Arial Unicode MS"/>
                <w:sz w:val="24"/>
                <w:szCs w:val="24"/>
              </w:rPr>
            </w:pPr>
            <w:r w:rsidRPr="00FA5D4B">
              <w:rPr>
                <w:sz w:val="24"/>
                <w:szCs w:val="24"/>
              </w:rPr>
              <w:t xml:space="preserve">B1.    </w:t>
            </w:r>
            <w:r w:rsidRPr="00FA5D4B">
              <w:rPr>
                <w:rFonts w:eastAsia="Arial Unicode MS"/>
                <w:sz w:val="24"/>
                <w:szCs w:val="24"/>
              </w:rPr>
              <w:t xml:space="preserve">Review of Performance </w:t>
            </w:r>
          </w:p>
          <w:p w:rsidR="00FA5D4B" w:rsidRPr="00FA5D4B" w:rsidRDefault="00FA5D4B" w:rsidP="00FA5D4B">
            <w:pPr>
              <w:rPr>
                <w:rFonts w:eastAsia="Arial Unicode MS"/>
                <w:sz w:val="24"/>
                <w:szCs w:val="24"/>
              </w:rPr>
            </w:pPr>
          </w:p>
          <w:p w:rsidR="00FA5D4B" w:rsidRPr="00FA5D4B" w:rsidRDefault="00FA5D4B" w:rsidP="00FA5D4B">
            <w:pPr>
              <w:ind w:left="468"/>
              <w:jc w:val="both"/>
              <w:rPr>
                <w:rFonts w:eastAsia="Arial Unicode MS"/>
                <w:b w:val="0"/>
                <w:sz w:val="24"/>
                <w:szCs w:val="24"/>
              </w:rPr>
            </w:pPr>
            <w:r w:rsidRPr="00FA5D4B">
              <w:rPr>
                <w:rFonts w:eastAsia="Arial Unicode MS"/>
                <w:b w:val="0"/>
                <w:sz w:val="24"/>
                <w:szCs w:val="24"/>
              </w:rPr>
              <w:t xml:space="preserve">The group recorded a total turnover of RM20.72 million for the current quarter. The amount achieved was higher than that of the preceding period of RM19.40 million. Contributions by the Group’s respective divisions are as follows:- </w:t>
            </w:r>
          </w:p>
          <w:p w:rsidR="00FA5D4B" w:rsidRPr="00FA5D4B" w:rsidRDefault="00FA5D4B" w:rsidP="00FA5D4B">
            <w:pPr>
              <w:ind w:left="468"/>
              <w:jc w:val="both"/>
              <w:rPr>
                <w:rFonts w:eastAsia="Arial Unicode MS"/>
                <w:b w:val="0"/>
                <w:sz w:val="24"/>
                <w:szCs w:val="24"/>
              </w:rPr>
            </w:pPr>
          </w:p>
          <w:p w:rsidR="00FA5D4B" w:rsidRPr="00FA5D4B" w:rsidRDefault="00FA5D4B" w:rsidP="00CA7C9E">
            <w:pPr>
              <w:pStyle w:val="ListParagraph"/>
              <w:numPr>
                <w:ilvl w:val="0"/>
                <w:numId w:val="1"/>
              </w:numPr>
              <w:contextualSpacing/>
              <w:jc w:val="both"/>
              <w:rPr>
                <w:rFonts w:eastAsia="Arial Unicode MS"/>
                <w:b w:val="0"/>
                <w:sz w:val="24"/>
                <w:szCs w:val="24"/>
              </w:rPr>
            </w:pPr>
            <w:r w:rsidRPr="00FA5D4B">
              <w:rPr>
                <w:rFonts w:eastAsia="Arial Unicode MS"/>
                <w:b w:val="0"/>
                <w:sz w:val="24"/>
                <w:szCs w:val="24"/>
              </w:rPr>
              <w:t xml:space="preserve">Fast food &amp; franchise operation division maintained total revenue of RM10.26 million, slightly lower than that of the preceding period of RM10.96 million. During the quarter, two new </w:t>
            </w:r>
            <w:proofErr w:type="spellStart"/>
            <w:r w:rsidRPr="00FA5D4B">
              <w:rPr>
                <w:rFonts w:eastAsia="Arial Unicode MS"/>
                <w:b w:val="0"/>
                <w:sz w:val="24"/>
                <w:szCs w:val="24"/>
              </w:rPr>
              <w:t>SugarBun</w:t>
            </w:r>
            <w:proofErr w:type="spellEnd"/>
            <w:r w:rsidRPr="00FA5D4B">
              <w:rPr>
                <w:rFonts w:eastAsia="Arial Unicode MS"/>
                <w:b w:val="0"/>
                <w:sz w:val="24"/>
                <w:szCs w:val="24"/>
              </w:rPr>
              <w:t xml:space="preserve"> outlets were opened and one reopening, with two closures and one re-opening of </w:t>
            </w:r>
            <w:proofErr w:type="spellStart"/>
            <w:r w:rsidRPr="00FA5D4B">
              <w:rPr>
                <w:rFonts w:eastAsia="Arial Unicode MS"/>
                <w:b w:val="0"/>
                <w:sz w:val="24"/>
                <w:szCs w:val="24"/>
              </w:rPr>
              <w:t>Pezzo</w:t>
            </w:r>
            <w:proofErr w:type="spellEnd"/>
            <w:r w:rsidRPr="00FA5D4B">
              <w:rPr>
                <w:rFonts w:eastAsia="Arial Unicode MS"/>
                <w:b w:val="0"/>
                <w:sz w:val="24"/>
                <w:szCs w:val="24"/>
              </w:rPr>
              <w:t xml:space="preserve"> outlet. </w:t>
            </w:r>
          </w:p>
          <w:p w:rsidR="00FA5D4B" w:rsidRPr="00FA5D4B" w:rsidRDefault="00FA5D4B" w:rsidP="00FA5D4B">
            <w:pPr>
              <w:pStyle w:val="ListParagraph"/>
              <w:ind w:left="828"/>
              <w:jc w:val="both"/>
              <w:rPr>
                <w:rFonts w:eastAsia="Arial Unicode MS"/>
                <w:b w:val="0"/>
                <w:sz w:val="24"/>
                <w:szCs w:val="24"/>
              </w:rPr>
            </w:pPr>
          </w:p>
          <w:p w:rsidR="00FA5D4B" w:rsidRPr="00FA5D4B" w:rsidRDefault="00FA5D4B" w:rsidP="00CA7C9E">
            <w:pPr>
              <w:pStyle w:val="ListParagraph"/>
              <w:numPr>
                <w:ilvl w:val="0"/>
                <w:numId w:val="1"/>
              </w:numPr>
              <w:contextualSpacing/>
              <w:jc w:val="both"/>
              <w:rPr>
                <w:rFonts w:eastAsia="Arial Unicode MS"/>
                <w:b w:val="0"/>
                <w:sz w:val="24"/>
                <w:szCs w:val="24"/>
              </w:rPr>
            </w:pPr>
            <w:r w:rsidRPr="00FA5D4B">
              <w:rPr>
                <w:rFonts w:eastAsia="Arial Unicode MS"/>
                <w:b w:val="0"/>
                <w:sz w:val="24"/>
                <w:szCs w:val="24"/>
              </w:rPr>
              <w:t xml:space="preserve">Mining, energy &amp; related operation division’s turnover of RM8.79 million was comparatively higher than that of RM6.89 million achieved in the preceding quarter. </w:t>
            </w:r>
          </w:p>
          <w:p w:rsidR="00FA5D4B" w:rsidRPr="00FA5D4B" w:rsidRDefault="00FA5D4B" w:rsidP="00FA5D4B">
            <w:pPr>
              <w:pStyle w:val="ListParagraph"/>
              <w:ind w:left="828"/>
              <w:jc w:val="both"/>
              <w:rPr>
                <w:rFonts w:eastAsia="Arial Unicode MS"/>
                <w:b w:val="0"/>
                <w:sz w:val="24"/>
                <w:szCs w:val="24"/>
              </w:rPr>
            </w:pPr>
          </w:p>
          <w:p w:rsidR="00FA5D4B" w:rsidRPr="00FA5D4B" w:rsidRDefault="00FA5D4B" w:rsidP="00FA5D4B">
            <w:pPr>
              <w:pStyle w:val="ListParagraph"/>
              <w:ind w:left="828"/>
              <w:jc w:val="both"/>
              <w:rPr>
                <w:rFonts w:eastAsia="Arial Unicode MS"/>
                <w:b w:val="0"/>
                <w:sz w:val="24"/>
                <w:szCs w:val="24"/>
              </w:rPr>
            </w:pPr>
            <w:r w:rsidRPr="00FA5D4B">
              <w:rPr>
                <w:rFonts w:eastAsia="Arial Unicode MS"/>
                <w:b w:val="0"/>
                <w:sz w:val="24"/>
                <w:szCs w:val="24"/>
              </w:rPr>
              <w:t xml:space="preserve">During the quarter, the division’s mining operation produced 302.03 oz. of gold </w:t>
            </w:r>
            <w:proofErr w:type="spellStart"/>
            <w:r w:rsidRPr="00FA5D4B">
              <w:rPr>
                <w:rFonts w:eastAsia="Arial Unicode MS"/>
                <w:b w:val="0"/>
                <w:sz w:val="24"/>
                <w:szCs w:val="24"/>
              </w:rPr>
              <w:t>dore</w:t>
            </w:r>
            <w:proofErr w:type="spellEnd"/>
            <w:r w:rsidRPr="00FA5D4B">
              <w:rPr>
                <w:rFonts w:eastAsia="Arial Unicode MS"/>
                <w:b w:val="0"/>
                <w:sz w:val="24"/>
                <w:szCs w:val="24"/>
              </w:rPr>
              <w:t xml:space="preserve"> out of 107,365.40 MT of ore mined as compared to the preceding quarter of 317.49 oz and 153,667.20 MT of ores mined respectively. As for the trading of gold spot contracts, a total of 37,257 kg was purchased and 37.054 kg sold.</w:t>
            </w:r>
          </w:p>
          <w:p w:rsidR="00FA5D4B" w:rsidRPr="00FA5D4B" w:rsidRDefault="00FA5D4B" w:rsidP="00FA5D4B">
            <w:pPr>
              <w:pStyle w:val="ListParagraph"/>
              <w:rPr>
                <w:rFonts w:eastAsia="Arial Unicode MS"/>
                <w:b w:val="0"/>
                <w:sz w:val="24"/>
                <w:szCs w:val="24"/>
              </w:rPr>
            </w:pPr>
          </w:p>
          <w:p w:rsidR="00FA5D4B" w:rsidRPr="00FA5D4B" w:rsidRDefault="00FA5D4B" w:rsidP="00FA5D4B">
            <w:pPr>
              <w:ind w:left="828"/>
              <w:jc w:val="both"/>
              <w:rPr>
                <w:rFonts w:eastAsia="Arial Unicode MS"/>
                <w:b w:val="0"/>
                <w:sz w:val="24"/>
                <w:szCs w:val="24"/>
              </w:rPr>
            </w:pPr>
            <w:r w:rsidRPr="00FA5D4B">
              <w:rPr>
                <w:rFonts w:eastAsia="Arial Unicode MS"/>
                <w:b w:val="0"/>
                <w:sz w:val="24"/>
                <w:szCs w:val="24"/>
              </w:rPr>
              <w:t>As for the limestone operation, 1,052 blocks (6,867.43 m3) of marble blocks were extracted</w:t>
            </w:r>
            <w:r w:rsidR="00E3368E">
              <w:rPr>
                <w:rFonts w:eastAsia="Arial Unicode MS"/>
                <w:b w:val="0"/>
                <w:sz w:val="24"/>
                <w:szCs w:val="24"/>
              </w:rPr>
              <w:t xml:space="preserve"> by the operator</w:t>
            </w:r>
            <w:r w:rsidRPr="00FA5D4B">
              <w:rPr>
                <w:rFonts w:eastAsia="Arial Unicode MS"/>
                <w:b w:val="0"/>
                <w:sz w:val="24"/>
                <w:szCs w:val="24"/>
              </w:rPr>
              <w:t xml:space="preserve"> and 161 containers were exported during the quarter. A total tribute of RM 476,370.00 was paid by the operator to the division during the quarter.</w:t>
            </w:r>
          </w:p>
          <w:p w:rsidR="00FA5D4B" w:rsidRPr="00FA5D4B" w:rsidRDefault="00FA5D4B" w:rsidP="00FA5D4B">
            <w:pPr>
              <w:ind w:left="720"/>
              <w:jc w:val="both"/>
              <w:rPr>
                <w:rFonts w:eastAsia="Arial Unicode MS"/>
                <w:b w:val="0"/>
                <w:sz w:val="24"/>
                <w:szCs w:val="24"/>
              </w:rPr>
            </w:pPr>
          </w:p>
          <w:p w:rsidR="003F48DE" w:rsidRPr="00FA5D4B" w:rsidRDefault="00FA5D4B" w:rsidP="00CA7C9E">
            <w:pPr>
              <w:pStyle w:val="ListParagraph"/>
              <w:numPr>
                <w:ilvl w:val="0"/>
                <w:numId w:val="1"/>
              </w:numPr>
              <w:contextualSpacing/>
              <w:jc w:val="both"/>
              <w:rPr>
                <w:rFonts w:eastAsia="Arial Unicode MS"/>
                <w:b w:val="0"/>
                <w:sz w:val="24"/>
                <w:szCs w:val="24"/>
              </w:rPr>
            </w:pPr>
            <w:r w:rsidRPr="00FA5D4B">
              <w:rPr>
                <w:rFonts w:eastAsia="Arial Unicode MS"/>
                <w:b w:val="0"/>
                <w:sz w:val="24"/>
                <w:szCs w:val="24"/>
              </w:rPr>
              <w:t>Property, management &amp; operation division also contributed to the overall turnover with its revenue of RM1.67 million achieved during the quarter.</w:t>
            </w:r>
          </w:p>
          <w:p w:rsidR="00081119" w:rsidRPr="00FA5D4B" w:rsidRDefault="00081119" w:rsidP="00953119">
            <w:pPr>
              <w:jc w:val="both"/>
              <w:rPr>
                <w:b w:val="0"/>
                <w:sz w:val="24"/>
                <w:szCs w:val="24"/>
              </w:rPr>
            </w:pPr>
          </w:p>
          <w:p w:rsidR="00157326" w:rsidRPr="00FA5D4B" w:rsidRDefault="00604BF6" w:rsidP="00604BF6">
            <w:pPr>
              <w:ind w:left="468" w:hanging="468"/>
              <w:jc w:val="both"/>
              <w:rPr>
                <w:b w:val="0"/>
                <w:sz w:val="24"/>
                <w:szCs w:val="24"/>
              </w:rPr>
            </w:pPr>
            <w:r w:rsidRPr="00FA5D4B">
              <w:rPr>
                <w:b w:val="0"/>
                <w:sz w:val="24"/>
                <w:szCs w:val="24"/>
              </w:rPr>
              <w:t xml:space="preserve">      </w:t>
            </w:r>
          </w:p>
        </w:tc>
        <w:tc>
          <w:tcPr>
            <w:tcW w:w="1417" w:type="dxa"/>
            <w:gridSpan w:val="2"/>
            <w:vAlign w:val="bottom"/>
          </w:tcPr>
          <w:p w:rsidR="003F67D3" w:rsidRPr="00FA5D4B" w:rsidRDefault="003F67D3" w:rsidP="00E41BF9">
            <w:pPr>
              <w:rPr>
                <w:sz w:val="24"/>
                <w:szCs w:val="24"/>
              </w:rPr>
            </w:pPr>
          </w:p>
        </w:tc>
        <w:tc>
          <w:tcPr>
            <w:tcW w:w="691" w:type="dxa"/>
            <w:gridSpan w:val="2"/>
          </w:tcPr>
          <w:p w:rsidR="003F67D3" w:rsidRPr="00FA5D4B" w:rsidRDefault="003F67D3" w:rsidP="00E41BF9">
            <w:pPr>
              <w:rPr>
                <w:sz w:val="24"/>
                <w:szCs w:val="24"/>
              </w:rPr>
            </w:pPr>
          </w:p>
        </w:tc>
        <w:tc>
          <w:tcPr>
            <w:tcW w:w="1403" w:type="dxa"/>
            <w:gridSpan w:val="2"/>
            <w:vAlign w:val="bottom"/>
          </w:tcPr>
          <w:p w:rsidR="008450D3" w:rsidRPr="00FA5D4B" w:rsidRDefault="008450D3" w:rsidP="00E41BF9">
            <w:pPr>
              <w:rPr>
                <w:sz w:val="24"/>
                <w:szCs w:val="24"/>
              </w:rPr>
            </w:pPr>
          </w:p>
        </w:tc>
      </w:tr>
      <w:tr w:rsidR="003F67D3" w:rsidRPr="00FA5D4B" w:rsidTr="00AE79A8">
        <w:trPr>
          <w:gridAfter w:val="1"/>
          <w:wAfter w:w="504" w:type="dxa"/>
          <w:trHeight w:val="282"/>
        </w:trPr>
        <w:tc>
          <w:tcPr>
            <w:tcW w:w="9720" w:type="dxa"/>
            <w:gridSpan w:val="2"/>
          </w:tcPr>
          <w:p w:rsidR="00E6034C" w:rsidRPr="00FA5D4B" w:rsidRDefault="00DD3C30" w:rsidP="002354FE">
            <w:pPr>
              <w:ind w:firstLine="522"/>
              <w:rPr>
                <w:sz w:val="24"/>
                <w:szCs w:val="24"/>
              </w:rPr>
            </w:pPr>
            <w:r w:rsidRPr="00FA5D4B">
              <w:rPr>
                <w:sz w:val="24"/>
                <w:szCs w:val="24"/>
              </w:rPr>
              <w:t>B2</w:t>
            </w:r>
            <w:r w:rsidR="0055310E" w:rsidRPr="00FA5D4B">
              <w:rPr>
                <w:sz w:val="24"/>
                <w:szCs w:val="24"/>
              </w:rPr>
              <w:t xml:space="preserve">.   </w:t>
            </w:r>
            <w:r w:rsidR="008637EF" w:rsidRPr="00FA5D4B">
              <w:rPr>
                <w:sz w:val="24"/>
                <w:szCs w:val="24"/>
              </w:rPr>
              <w:t>Review</w:t>
            </w:r>
            <w:r w:rsidRPr="00FA5D4B">
              <w:rPr>
                <w:sz w:val="24"/>
                <w:szCs w:val="24"/>
              </w:rPr>
              <w:t xml:space="preserve"> of results</w:t>
            </w:r>
            <w:r w:rsidR="00CF4043" w:rsidRPr="00FA5D4B">
              <w:rPr>
                <w:sz w:val="24"/>
                <w:szCs w:val="24"/>
              </w:rPr>
              <w:t>.</w:t>
            </w:r>
          </w:p>
          <w:p w:rsidR="00CF4043" w:rsidRPr="00FA5D4B" w:rsidRDefault="00CF4043" w:rsidP="00E41BF9">
            <w:pPr>
              <w:rPr>
                <w:sz w:val="24"/>
                <w:szCs w:val="24"/>
              </w:rPr>
            </w:pPr>
          </w:p>
          <w:p w:rsidR="00FA5D4B" w:rsidRPr="00FA5D4B" w:rsidRDefault="00FA5D4B" w:rsidP="00C64CF3">
            <w:pPr>
              <w:ind w:left="1062"/>
              <w:jc w:val="both"/>
              <w:rPr>
                <w:rFonts w:eastAsia="Arial Unicode MS"/>
                <w:b w:val="0"/>
                <w:sz w:val="24"/>
                <w:szCs w:val="24"/>
              </w:rPr>
            </w:pPr>
            <w:r w:rsidRPr="00FA5D4B">
              <w:rPr>
                <w:rFonts w:eastAsia="Arial Unicode MS"/>
                <w:b w:val="0"/>
                <w:sz w:val="24"/>
                <w:szCs w:val="24"/>
              </w:rPr>
              <w:t>The Group’s overall profit of RM2.41 million was comparatively lower than that of the preceding quarter of RM4.35 million. This was mainly attributable to lower profit contributions by the fast food &amp; franchise and mining, energy &amp; related operation divisions for the quarter as follows:-</w:t>
            </w:r>
          </w:p>
          <w:p w:rsidR="00FA5D4B" w:rsidRPr="00FA5D4B" w:rsidRDefault="00FA5D4B" w:rsidP="00FA5D4B">
            <w:pPr>
              <w:jc w:val="both"/>
              <w:rPr>
                <w:rFonts w:eastAsia="Arial Unicode MS"/>
                <w:b w:val="0"/>
                <w:sz w:val="24"/>
                <w:szCs w:val="24"/>
              </w:rPr>
            </w:pPr>
          </w:p>
          <w:p w:rsidR="00FA5D4B" w:rsidRPr="00FA5D4B" w:rsidRDefault="00FA5D4B" w:rsidP="00CA7C9E">
            <w:pPr>
              <w:pStyle w:val="ListParagraph"/>
              <w:numPr>
                <w:ilvl w:val="0"/>
                <w:numId w:val="2"/>
              </w:numPr>
              <w:ind w:left="1422"/>
              <w:contextualSpacing/>
              <w:jc w:val="both"/>
              <w:rPr>
                <w:rFonts w:eastAsia="Arial Unicode MS"/>
                <w:b w:val="0"/>
                <w:sz w:val="24"/>
                <w:szCs w:val="24"/>
              </w:rPr>
            </w:pPr>
            <w:r w:rsidRPr="00FA5D4B">
              <w:rPr>
                <w:rFonts w:eastAsia="Arial Unicode MS"/>
                <w:b w:val="0"/>
                <w:sz w:val="24"/>
                <w:szCs w:val="24"/>
              </w:rPr>
              <w:t>Fast food &amp; franchise operation division’s comparatively lower profit for the quarter corresponded with comparatively lower turnover for the current quarter. This was commendable despite the many challenges facing the food franchise industry such as lower margins, higher food costs, price competition and the general cautious and lower spending behavior of customers as a whole.</w:t>
            </w:r>
          </w:p>
          <w:p w:rsidR="00C64CF3" w:rsidRDefault="00C64CF3" w:rsidP="00C64CF3">
            <w:pPr>
              <w:jc w:val="both"/>
              <w:rPr>
                <w:rFonts w:eastAsia="Arial Unicode MS"/>
                <w:b w:val="0"/>
                <w:sz w:val="24"/>
                <w:szCs w:val="24"/>
              </w:rPr>
            </w:pPr>
          </w:p>
          <w:p w:rsidR="00C64CF3" w:rsidRPr="00C64CF3" w:rsidRDefault="00C64CF3" w:rsidP="00C64CF3">
            <w:pPr>
              <w:rPr>
                <w:b w:val="0"/>
                <w:sz w:val="20"/>
                <w:szCs w:val="20"/>
              </w:rPr>
            </w:pPr>
            <w:r w:rsidRPr="00FA5D4B">
              <w:rPr>
                <w:sz w:val="24"/>
                <w:szCs w:val="24"/>
              </w:rPr>
              <w:t xml:space="preserve">                                                                                 </w:t>
            </w:r>
            <w:r w:rsidRPr="00C64CF3">
              <w:rPr>
                <w:b w:val="0"/>
                <w:sz w:val="20"/>
                <w:szCs w:val="20"/>
              </w:rPr>
              <w:t>10</w:t>
            </w:r>
          </w:p>
          <w:p w:rsidR="00C64CF3" w:rsidRPr="00FA5D4B" w:rsidRDefault="00C64CF3" w:rsidP="00C64CF3">
            <w:pPr>
              <w:ind w:left="612"/>
              <w:rPr>
                <w:sz w:val="24"/>
                <w:szCs w:val="24"/>
              </w:rPr>
            </w:pPr>
            <w:r w:rsidRPr="00FA5D4B">
              <w:rPr>
                <w:sz w:val="24"/>
                <w:szCs w:val="24"/>
              </w:rPr>
              <w:lastRenderedPageBreak/>
              <w:t>BORNEO OIL BERHAD</w:t>
            </w:r>
          </w:p>
          <w:p w:rsidR="00C64CF3" w:rsidRPr="00FA5D4B" w:rsidRDefault="00C64CF3" w:rsidP="00C64CF3">
            <w:pPr>
              <w:ind w:left="612"/>
              <w:rPr>
                <w:sz w:val="24"/>
                <w:szCs w:val="24"/>
              </w:rPr>
            </w:pPr>
            <w:r w:rsidRPr="00FA5D4B">
              <w:rPr>
                <w:sz w:val="24"/>
                <w:szCs w:val="24"/>
              </w:rPr>
              <w:t>(Company No. 121919-H)</w:t>
            </w:r>
          </w:p>
          <w:p w:rsidR="00C64CF3" w:rsidRPr="00FA5D4B" w:rsidRDefault="00C64CF3" w:rsidP="00C64CF3">
            <w:pPr>
              <w:ind w:left="612"/>
              <w:rPr>
                <w:sz w:val="24"/>
                <w:szCs w:val="24"/>
              </w:rPr>
            </w:pPr>
            <w:r w:rsidRPr="00FA5D4B">
              <w:rPr>
                <w:sz w:val="24"/>
                <w:szCs w:val="24"/>
              </w:rPr>
              <w:t>Incorporated in Malaysia</w:t>
            </w:r>
          </w:p>
          <w:p w:rsidR="00C64CF3" w:rsidRPr="00FA5D4B" w:rsidRDefault="00C64CF3" w:rsidP="00C64CF3">
            <w:pPr>
              <w:ind w:left="612"/>
              <w:rPr>
                <w:sz w:val="24"/>
                <w:szCs w:val="24"/>
              </w:rPr>
            </w:pPr>
          </w:p>
          <w:p w:rsidR="00C64CF3" w:rsidRPr="00FA5D4B" w:rsidRDefault="00C64CF3" w:rsidP="00C64CF3">
            <w:pPr>
              <w:ind w:left="612"/>
              <w:rPr>
                <w:sz w:val="24"/>
                <w:szCs w:val="24"/>
              </w:rPr>
            </w:pPr>
            <w:r w:rsidRPr="00FA5D4B">
              <w:rPr>
                <w:sz w:val="24"/>
                <w:szCs w:val="24"/>
              </w:rPr>
              <w:t>Notes on the quarterly report – 31 October 2017</w:t>
            </w:r>
          </w:p>
          <w:p w:rsidR="00C64CF3" w:rsidRPr="00FA5D4B" w:rsidRDefault="00C64CF3" w:rsidP="00C64CF3">
            <w:pPr>
              <w:ind w:left="612" w:hanging="522"/>
              <w:jc w:val="both"/>
              <w:rPr>
                <w:b w:val="0"/>
                <w:sz w:val="24"/>
                <w:szCs w:val="24"/>
              </w:rPr>
            </w:pPr>
          </w:p>
          <w:p w:rsidR="00C64CF3" w:rsidRPr="00FA5D4B" w:rsidRDefault="00C64CF3" w:rsidP="00C64CF3">
            <w:pPr>
              <w:ind w:firstLine="522"/>
              <w:rPr>
                <w:sz w:val="24"/>
                <w:szCs w:val="24"/>
              </w:rPr>
            </w:pPr>
            <w:r w:rsidRPr="00FA5D4B">
              <w:rPr>
                <w:sz w:val="24"/>
                <w:szCs w:val="24"/>
              </w:rPr>
              <w:t>B2.   Review of results.</w:t>
            </w:r>
            <w:r>
              <w:rPr>
                <w:sz w:val="24"/>
                <w:szCs w:val="24"/>
              </w:rPr>
              <w:t xml:space="preserve"> (continue)</w:t>
            </w:r>
          </w:p>
          <w:p w:rsidR="00C64CF3" w:rsidRPr="00FA5D4B" w:rsidRDefault="00C64CF3" w:rsidP="00FA5D4B">
            <w:pPr>
              <w:ind w:left="522"/>
              <w:jc w:val="both"/>
              <w:rPr>
                <w:rFonts w:eastAsia="Arial Unicode MS"/>
                <w:b w:val="0"/>
                <w:sz w:val="24"/>
                <w:szCs w:val="24"/>
              </w:rPr>
            </w:pPr>
          </w:p>
          <w:p w:rsidR="00FA5D4B" w:rsidRPr="00FA5D4B" w:rsidRDefault="00FA5D4B" w:rsidP="00CA7C9E">
            <w:pPr>
              <w:pStyle w:val="ListParagraph"/>
              <w:numPr>
                <w:ilvl w:val="0"/>
                <w:numId w:val="2"/>
              </w:numPr>
              <w:ind w:left="1422"/>
              <w:contextualSpacing/>
              <w:jc w:val="both"/>
              <w:rPr>
                <w:rFonts w:eastAsia="Arial Unicode MS"/>
                <w:b w:val="0"/>
                <w:sz w:val="24"/>
                <w:szCs w:val="24"/>
              </w:rPr>
            </w:pPr>
            <w:r w:rsidRPr="00FA5D4B">
              <w:rPr>
                <w:rFonts w:eastAsia="Arial Unicode MS"/>
                <w:b w:val="0"/>
                <w:sz w:val="24"/>
                <w:szCs w:val="24"/>
              </w:rPr>
              <w:t>The mining energy &amp; related operation’s drop in profit was mainly due to fair value loss from its trading of gold spot contracts although there was positive contribution from its limestone operation</w:t>
            </w:r>
          </w:p>
          <w:p w:rsidR="00FA5D4B" w:rsidRPr="00FA5D4B" w:rsidRDefault="00FA5D4B" w:rsidP="00FA5D4B">
            <w:pPr>
              <w:pStyle w:val="ListParagraph"/>
              <w:rPr>
                <w:rFonts w:eastAsia="Arial Unicode MS"/>
                <w:b w:val="0"/>
                <w:sz w:val="24"/>
                <w:szCs w:val="24"/>
              </w:rPr>
            </w:pPr>
          </w:p>
          <w:p w:rsidR="00745C22" w:rsidRPr="00FA5D4B" w:rsidRDefault="00FA5D4B" w:rsidP="00C64CF3">
            <w:pPr>
              <w:ind w:left="1062"/>
              <w:jc w:val="both"/>
              <w:rPr>
                <w:b w:val="0"/>
                <w:sz w:val="24"/>
                <w:szCs w:val="24"/>
              </w:rPr>
            </w:pPr>
            <w:r w:rsidRPr="00FA5D4B">
              <w:rPr>
                <w:rFonts w:eastAsia="Arial Unicode MS"/>
                <w:b w:val="0"/>
                <w:sz w:val="24"/>
                <w:szCs w:val="24"/>
              </w:rPr>
              <w:t>Property, management &amp; related division’s profit was mainly from its gain from disposal of two properties during the quarter</w:t>
            </w:r>
            <w:r w:rsidR="00953119" w:rsidRPr="00FA5D4B">
              <w:rPr>
                <w:b w:val="0"/>
                <w:sz w:val="24"/>
                <w:szCs w:val="24"/>
              </w:rPr>
              <w:t>.</w:t>
            </w:r>
          </w:p>
          <w:p w:rsidR="00C93892" w:rsidRDefault="00C93892" w:rsidP="00674847">
            <w:pPr>
              <w:rPr>
                <w:b w:val="0"/>
                <w:sz w:val="24"/>
                <w:szCs w:val="24"/>
              </w:rPr>
            </w:pPr>
          </w:p>
          <w:p w:rsidR="00C64CF3" w:rsidRPr="00FA5D4B" w:rsidRDefault="00C64CF3" w:rsidP="00674847">
            <w:pPr>
              <w:rPr>
                <w:sz w:val="24"/>
                <w:szCs w:val="24"/>
              </w:rPr>
            </w:pPr>
          </w:p>
          <w:p w:rsidR="00674847" w:rsidRPr="00FA5D4B" w:rsidRDefault="00674847" w:rsidP="00C64CF3">
            <w:pPr>
              <w:pStyle w:val="BodyTextIndent"/>
              <w:ind w:left="522" w:firstLine="0"/>
              <w:rPr>
                <w:sz w:val="24"/>
                <w:szCs w:val="24"/>
              </w:rPr>
            </w:pPr>
            <w:r w:rsidRPr="00FA5D4B">
              <w:rPr>
                <w:sz w:val="24"/>
                <w:szCs w:val="24"/>
              </w:rPr>
              <w:t>B3.  Current year prospects</w:t>
            </w:r>
          </w:p>
          <w:p w:rsidR="00674847" w:rsidRPr="00FA5D4B" w:rsidRDefault="00674847" w:rsidP="00674847">
            <w:pPr>
              <w:pStyle w:val="BodyTextIndent"/>
              <w:rPr>
                <w:sz w:val="24"/>
                <w:szCs w:val="24"/>
              </w:rPr>
            </w:pPr>
          </w:p>
          <w:p w:rsidR="00FA5D4B" w:rsidRPr="00FA5D4B" w:rsidRDefault="00FA5D4B" w:rsidP="00C64CF3">
            <w:pPr>
              <w:ind w:left="972"/>
              <w:jc w:val="both"/>
              <w:rPr>
                <w:rFonts w:eastAsia="Arial Unicode MS"/>
                <w:b w:val="0"/>
                <w:sz w:val="24"/>
                <w:szCs w:val="24"/>
              </w:rPr>
            </w:pPr>
            <w:r w:rsidRPr="00FA5D4B">
              <w:rPr>
                <w:rFonts w:eastAsia="Arial Unicode MS"/>
                <w:b w:val="0"/>
                <w:sz w:val="24"/>
                <w:szCs w:val="24"/>
              </w:rPr>
              <w:t>Gold prices for the quarter have been weak and volatile mainly caused by the hike in the US Dollar interest rates. 2017 has seen three hikes and another three more are expected in 2018. The DOW is trading at historical high (almost 25,000 points) and is currently a great display of risk appetite. The US tax reform implementation coupled with the expectation of the rebuilding of America’s infrastructure will be challenges that gold prices may face in the coming months. The Board is mindful of the situation but is of the view that inflation will sooner or later come into play and gold prices will reflect the value of all things.</w:t>
            </w:r>
          </w:p>
          <w:p w:rsidR="00FA5D4B" w:rsidRPr="00FA5D4B" w:rsidRDefault="00FA5D4B" w:rsidP="00FA5D4B">
            <w:pPr>
              <w:ind w:left="432"/>
              <w:jc w:val="both"/>
              <w:rPr>
                <w:rFonts w:eastAsia="Arial Unicode MS"/>
                <w:b w:val="0"/>
                <w:sz w:val="24"/>
                <w:szCs w:val="24"/>
              </w:rPr>
            </w:pPr>
          </w:p>
          <w:p w:rsidR="00FA5D4B" w:rsidRPr="00FA5D4B" w:rsidRDefault="00FA5D4B" w:rsidP="00C64CF3">
            <w:pPr>
              <w:ind w:left="972"/>
              <w:jc w:val="both"/>
              <w:rPr>
                <w:rFonts w:eastAsia="Arial Unicode MS"/>
                <w:b w:val="0"/>
                <w:sz w:val="24"/>
                <w:szCs w:val="24"/>
              </w:rPr>
            </w:pPr>
            <w:r w:rsidRPr="00FA5D4B">
              <w:rPr>
                <w:rFonts w:eastAsia="Arial Unicode MS"/>
                <w:b w:val="0"/>
                <w:sz w:val="24"/>
                <w:szCs w:val="24"/>
              </w:rPr>
              <w:t>The Franchise division had started rolling out “</w:t>
            </w:r>
            <w:proofErr w:type="spellStart"/>
            <w:r w:rsidRPr="00FA5D4B">
              <w:rPr>
                <w:rFonts w:eastAsia="Arial Unicode MS"/>
                <w:b w:val="0"/>
                <w:sz w:val="24"/>
                <w:szCs w:val="24"/>
              </w:rPr>
              <w:t>Broasted</w:t>
            </w:r>
            <w:proofErr w:type="spellEnd"/>
            <w:r w:rsidRPr="00FA5D4B">
              <w:rPr>
                <w:rFonts w:eastAsia="Arial Unicode MS"/>
                <w:b w:val="0"/>
                <w:sz w:val="24"/>
                <w:szCs w:val="24"/>
              </w:rPr>
              <w:t xml:space="preserve"> by Sugar Bun” through the opening of its first outlet at </w:t>
            </w:r>
            <w:proofErr w:type="spellStart"/>
            <w:r w:rsidRPr="00FA5D4B">
              <w:rPr>
                <w:rFonts w:eastAsia="Arial Unicode MS"/>
                <w:b w:val="0"/>
                <w:sz w:val="24"/>
                <w:szCs w:val="24"/>
              </w:rPr>
              <w:t>Gambang</w:t>
            </w:r>
            <w:proofErr w:type="spellEnd"/>
            <w:r w:rsidRPr="00FA5D4B">
              <w:rPr>
                <w:rFonts w:eastAsia="Arial Unicode MS"/>
                <w:b w:val="0"/>
                <w:sz w:val="24"/>
                <w:szCs w:val="24"/>
              </w:rPr>
              <w:t xml:space="preserve">, Pahang. Borneo Asian Food (BAF) food court concept to be operated by Tong </w:t>
            </w:r>
            <w:proofErr w:type="spellStart"/>
            <w:r w:rsidRPr="00FA5D4B">
              <w:rPr>
                <w:rFonts w:eastAsia="Arial Unicode MS"/>
                <w:b w:val="0"/>
                <w:sz w:val="24"/>
                <w:szCs w:val="24"/>
              </w:rPr>
              <w:t>Meng</w:t>
            </w:r>
            <w:proofErr w:type="spellEnd"/>
            <w:r w:rsidRPr="00FA5D4B">
              <w:rPr>
                <w:rFonts w:eastAsia="Arial Unicode MS"/>
                <w:b w:val="0"/>
                <w:sz w:val="24"/>
                <w:szCs w:val="24"/>
              </w:rPr>
              <w:t xml:space="preserve"> will have its first outlet in </w:t>
            </w:r>
            <w:proofErr w:type="spellStart"/>
            <w:r w:rsidRPr="00FA5D4B">
              <w:rPr>
                <w:rFonts w:eastAsia="Arial Unicode MS"/>
                <w:b w:val="0"/>
                <w:sz w:val="24"/>
                <w:szCs w:val="24"/>
              </w:rPr>
              <w:t>Menara</w:t>
            </w:r>
            <w:proofErr w:type="spellEnd"/>
            <w:r w:rsidRPr="00FA5D4B">
              <w:rPr>
                <w:rFonts w:eastAsia="Arial Unicode MS"/>
                <w:b w:val="0"/>
                <w:sz w:val="24"/>
                <w:szCs w:val="24"/>
              </w:rPr>
              <w:t xml:space="preserve"> Hap </w:t>
            </w:r>
            <w:proofErr w:type="spellStart"/>
            <w:r w:rsidRPr="00FA5D4B">
              <w:rPr>
                <w:rFonts w:eastAsia="Arial Unicode MS"/>
                <w:b w:val="0"/>
                <w:sz w:val="24"/>
                <w:szCs w:val="24"/>
              </w:rPr>
              <w:t>Seng</w:t>
            </w:r>
            <w:proofErr w:type="spellEnd"/>
            <w:r w:rsidRPr="00FA5D4B">
              <w:rPr>
                <w:rFonts w:eastAsia="Arial Unicode MS"/>
                <w:b w:val="0"/>
                <w:sz w:val="24"/>
                <w:szCs w:val="24"/>
              </w:rPr>
              <w:t xml:space="preserve"> 2, Kuala Lumpur before the 2</w:t>
            </w:r>
            <w:r w:rsidRPr="00FA5D4B">
              <w:rPr>
                <w:rFonts w:eastAsia="Arial Unicode MS"/>
                <w:b w:val="0"/>
                <w:sz w:val="24"/>
                <w:szCs w:val="24"/>
                <w:vertAlign w:val="superscript"/>
              </w:rPr>
              <w:t>nd</w:t>
            </w:r>
            <w:r w:rsidRPr="00FA5D4B">
              <w:rPr>
                <w:rFonts w:eastAsia="Arial Unicode MS"/>
                <w:b w:val="0"/>
                <w:sz w:val="24"/>
                <w:szCs w:val="24"/>
              </w:rPr>
              <w:t xml:space="preserve"> quarter of 2018.</w:t>
            </w:r>
          </w:p>
          <w:p w:rsidR="00FA5D4B" w:rsidRPr="00FA5D4B" w:rsidRDefault="00FA5D4B" w:rsidP="00C64CF3">
            <w:pPr>
              <w:ind w:left="972"/>
              <w:jc w:val="both"/>
              <w:rPr>
                <w:rFonts w:eastAsia="Arial Unicode MS"/>
                <w:b w:val="0"/>
                <w:sz w:val="24"/>
                <w:szCs w:val="24"/>
              </w:rPr>
            </w:pPr>
          </w:p>
          <w:p w:rsidR="00FA5D4B" w:rsidRPr="00FA5D4B" w:rsidRDefault="00FA5D4B" w:rsidP="00C64CF3">
            <w:pPr>
              <w:ind w:left="972"/>
              <w:jc w:val="both"/>
              <w:rPr>
                <w:rFonts w:eastAsia="Arial Unicode MS"/>
                <w:b w:val="0"/>
                <w:sz w:val="24"/>
                <w:szCs w:val="24"/>
              </w:rPr>
            </w:pPr>
            <w:r w:rsidRPr="00FA5D4B">
              <w:rPr>
                <w:rFonts w:eastAsia="Arial Unicode MS"/>
                <w:b w:val="0"/>
                <w:sz w:val="24"/>
                <w:szCs w:val="24"/>
              </w:rPr>
              <w:t xml:space="preserve">The </w:t>
            </w:r>
            <w:proofErr w:type="spellStart"/>
            <w:r w:rsidRPr="00FA5D4B">
              <w:rPr>
                <w:rFonts w:eastAsia="Arial Unicode MS"/>
                <w:b w:val="0"/>
                <w:sz w:val="24"/>
                <w:szCs w:val="24"/>
              </w:rPr>
              <w:t>Biofraction</w:t>
            </w:r>
            <w:proofErr w:type="spellEnd"/>
            <w:r w:rsidRPr="00FA5D4B">
              <w:rPr>
                <w:rFonts w:eastAsia="Arial Unicode MS"/>
                <w:b w:val="0"/>
                <w:sz w:val="24"/>
                <w:szCs w:val="24"/>
              </w:rPr>
              <w:t xml:space="preserve"> </w:t>
            </w:r>
            <w:proofErr w:type="spellStart"/>
            <w:r w:rsidRPr="00FA5D4B">
              <w:rPr>
                <w:rFonts w:eastAsia="Arial Unicode MS"/>
                <w:b w:val="0"/>
                <w:sz w:val="24"/>
                <w:szCs w:val="24"/>
              </w:rPr>
              <w:t>Vetrolysis</w:t>
            </w:r>
            <w:proofErr w:type="spellEnd"/>
            <w:r w:rsidRPr="00FA5D4B">
              <w:rPr>
                <w:rFonts w:eastAsia="Arial Unicode MS"/>
                <w:b w:val="0"/>
                <w:sz w:val="24"/>
                <w:szCs w:val="24"/>
              </w:rPr>
              <w:t xml:space="preserve"> Plant in </w:t>
            </w:r>
            <w:proofErr w:type="spellStart"/>
            <w:r w:rsidRPr="00FA5D4B">
              <w:rPr>
                <w:rFonts w:eastAsia="Arial Unicode MS"/>
                <w:b w:val="0"/>
                <w:sz w:val="24"/>
                <w:szCs w:val="24"/>
              </w:rPr>
              <w:t>Lahad</w:t>
            </w:r>
            <w:proofErr w:type="spellEnd"/>
            <w:r w:rsidRPr="00FA5D4B">
              <w:rPr>
                <w:rFonts w:eastAsia="Arial Unicode MS"/>
                <w:b w:val="0"/>
                <w:sz w:val="24"/>
                <w:szCs w:val="24"/>
              </w:rPr>
              <w:t xml:space="preserve"> </w:t>
            </w:r>
            <w:proofErr w:type="spellStart"/>
            <w:r w:rsidRPr="00FA5D4B">
              <w:rPr>
                <w:rFonts w:eastAsia="Arial Unicode MS"/>
                <w:b w:val="0"/>
                <w:sz w:val="24"/>
                <w:szCs w:val="24"/>
              </w:rPr>
              <w:t>Datu</w:t>
            </w:r>
            <w:proofErr w:type="spellEnd"/>
            <w:r w:rsidRPr="00FA5D4B">
              <w:rPr>
                <w:rFonts w:eastAsia="Arial Unicode MS"/>
                <w:b w:val="0"/>
                <w:sz w:val="24"/>
                <w:szCs w:val="24"/>
              </w:rPr>
              <w:t xml:space="preserve"> is expected to be completed in December 2017 and will commence test runs in late January 2018.</w:t>
            </w:r>
          </w:p>
          <w:p w:rsidR="00FA5D4B" w:rsidRPr="00FA5D4B" w:rsidRDefault="00FA5D4B" w:rsidP="00C64CF3">
            <w:pPr>
              <w:ind w:left="972"/>
              <w:jc w:val="both"/>
              <w:rPr>
                <w:rFonts w:eastAsia="Arial Unicode MS"/>
                <w:b w:val="0"/>
                <w:sz w:val="24"/>
                <w:szCs w:val="24"/>
              </w:rPr>
            </w:pPr>
          </w:p>
          <w:p w:rsidR="00FA5D4B" w:rsidRPr="00FA5D4B" w:rsidRDefault="00FA5D4B" w:rsidP="00C64CF3">
            <w:pPr>
              <w:ind w:left="972"/>
              <w:jc w:val="both"/>
              <w:rPr>
                <w:rFonts w:eastAsia="Arial Unicode MS"/>
                <w:b w:val="0"/>
                <w:sz w:val="24"/>
                <w:szCs w:val="24"/>
              </w:rPr>
            </w:pPr>
            <w:r w:rsidRPr="00FA5D4B">
              <w:rPr>
                <w:rFonts w:eastAsia="Arial Unicode MS"/>
                <w:b w:val="0"/>
                <w:sz w:val="24"/>
                <w:szCs w:val="24"/>
              </w:rPr>
              <w:t xml:space="preserve">The Heap Leaching Pilot Project will have its first trial run soon, after a delay of almost nine months due to metallurgy testing. </w:t>
            </w:r>
          </w:p>
          <w:p w:rsidR="00FA5D4B" w:rsidRPr="00FA5D4B" w:rsidRDefault="00FA5D4B" w:rsidP="00C64CF3">
            <w:pPr>
              <w:ind w:left="972"/>
              <w:jc w:val="both"/>
              <w:rPr>
                <w:rFonts w:eastAsia="Arial Unicode MS"/>
                <w:sz w:val="24"/>
                <w:szCs w:val="24"/>
              </w:rPr>
            </w:pPr>
          </w:p>
          <w:p w:rsidR="005A6347" w:rsidRPr="00FA5D4B" w:rsidRDefault="00FA5D4B" w:rsidP="00C64CF3">
            <w:pPr>
              <w:ind w:left="972"/>
              <w:jc w:val="both"/>
              <w:rPr>
                <w:b w:val="0"/>
                <w:sz w:val="24"/>
                <w:szCs w:val="24"/>
              </w:rPr>
            </w:pPr>
            <w:r w:rsidRPr="00FA5D4B">
              <w:rPr>
                <w:rFonts w:eastAsia="Arial Unicode MS"/>
                <w:b w:val="0"/>
                <w:sz w:val="24"/>
                <w:szCs w:val="24"/>
              </w:rPr>
              <w:t>An estimated 2.0 million tons of non-marble limestone have been produced through the extraction of marble blocks and the same is an ideal feedstock for lime-based products. Once the various processing plans are finalized and if agreed to be implemented by the Division, relevant announcements will be made</w:t>
            </w:r>
          </w:p>
          <w:p w:rsidR="00840A06" w:rsidRPr="00FA5D4B" w:rsidRDefault="00840A06" w:rsidP="005A6347">
            <w:pPr>
              <w:jc w:val="both"/>
              <w:rPr>
                <w:sz w:val="24"/>
                <w:szCs w:val="24"/>
              </w:rPr>
            </w:pPr>
          </w:p>
          <w:p w:rsidR="005A6347" w:rsidRPr="00FA5D4B" w:rsidRDefault="005A6347" w:rsidP="00E41BF9">
            <w:pPr>
              <w:rPr>
                <w:sz w:val="24"/>
                <w:szCs w:val="24"/>
              </w:rPr>
            </w:pPr>
          </w:p>
          <w:p w:rsidR="006918C1" w:rsidRPr="00FA5D4B" w:rsidRDefault="006918C1" w:rsidP="00C64CF3">
            <w:pPr>
              <w:pStyle w:val="BodyTextIndent"/>
              <w:ind w:left="972" w:hanging="450"/>
              <w:rPr>
                <w:sz w:val="24"/>
                <w:szCs w:val="24"/>
              </w:rPr>
            </w:pPr>
            <w:r w:rsidRPr="00FA5D4B">
              <w:rPr>
                <w:sz w:val="24"/>
                <w:szCs w:val="24"/>
              </w:rPr>
              <w:t>B4.  Variation Profit Forecast / Profit Guarantee</w:t>
            </w:r>
          </w:p>
          <w:p w:rsidR="006918C1" w:rsidRPr="00FA5D4B" w:rsidRDefault="006918C1" w:rsidP="006918C1">
            <w:pPr>
              <w:pStyle w:val="BodyTextIndent"/>
              <w:rPr>
                <w:sz w:val="24"/>
                <w:szCs w:val="24"/>
              </w:rPr>
            </w:pPr>
          </w:p>
          <w:p w:rsidR="006918C1" w:rsidRPr="00FA5D4B" w:rsidRDefault="006918C1" w:rsidP="00C64CF3">
            <w:pPr>
              <w:ind w:left="972"/>
              <w:rPr>
                <w:b w:val="0"/>
                <w:sz w:val="24"/>
                <w:szCs w:val="24"/>
              </w:rPr>
            </w:pPr>
            <w:r w:rsidRPr="00FA5D4B">
              <w:rPr>
                <w:b w:val="0"/>
                <w:sz w:val="24"/>
                <w:szCs w:val="24"/>
              </w:rPr>
              <w:t xml:space="preserve">There </w:t>
            </w:r>
            <w:proofErr w:type="gramStart"/>
            <w:r w:rsidRPr="00FA5D4B">
              <w:rPr>
                <w:b w:val="0"/>
                <w:sz w:val="24"/>
                <w:szCs w:val="24"/>
              </w:rPr>
              <w:t>were  no</w:t>
            </w:r>
            <w:proofErr w:type="gramEnd"/>
            <w:r w:rsidRPr="00FA5D4B">
              <w:rPr>
                <w:b w:val="0"/>
                <w:sz w:val="24"/>
                <w:szCs w:val="24"/>
              </w:rPr>
              <w:t xml:space="preserve"> profit forecast or guarantee made during the quarter.</w:t>
            </w:r>
          </w:p>
          <w:p w:rsidR="006918C1" w:rsidRPr="00FA5D4B" w:rsidRDefault="006918C1" w:rsidP="006918C1">
            <w:pPr>
              <w:rPr>
                <w:b w:val="0"/>
                <w:sz w:val="24"/>
                <w:szCs w:val="24"/>
              </w:rPr>
            </w:pPr>
          </w:p>
          <w:p w:rsidR="00222D90" w:rsidRDefault="00222D90" w:rsidP="006918C1">
            <w:pPr>
              <w:rPr>
                <w:sz w:val="24"/>
                <w:szCs w:val="24"/>
              </w:rPr>
            </w:pPr>
          </w:p>
          <w:p w:rsidR="00E149DC" w:rsidRDefault="00E149DC" w:rsidP="006918C1">
            <w:pPr>
              <w:rPr>
                <w:sz w:val="24"/>
                <w:szCs w:val="24"/>
              </w:rPr>
            </w:pPr>
          </w:p>
          <w:p w:rsidR="00E149DC" w:rsidRDefault="00E149DC" w:rsidP="006918C1">
            <w:pPr>
              <w:rPr>
                <w:sz w:val="24"/>
                <w:szCs w:val="24"/>
              </w:rPr>
            </w:pPr>
          </w:p>
          <w:p w:rsidR="00E149DC" w:rsidRPr="00E149DC" w:rsidRDefault="00E149DC" w:rsidP="006918C1">
            <w:pPr>
              <w:rPr>
                <w:b w:val="0"/>
                <w:sz w:val="20"/>
                <w:szCs w:val="20"/>
              </w:rPr>
            </w:pPr>
          </w:p>
          <w:p w:rsidR="005F73C4" w:rsidRPr="00E149DC" w:rsidRDefault="00E149DC" w:rsidP="00E149DC">
            <w:pPr>
              <w:jc w:val="center"/>
              <w:rPr>
                <w:b w:val="0"/>
                <w:sz w:val="20"/>
                <w:szCs w:val="20"/>
              </w:rPr>
            </w:pPr>
            <w:r w:rsidRPr="00E149DC">
              <w:rPr>
                <w:b w:val="0"/>
                <w:sz w:val="20"/>
                <w:szCs w:val="20"/>
              </w:rPr>
              <w:t>11</w:t>
            </w:r>
          </w:p>
          <w:p w:rsidR="00E149DC" w:rsidRDefault="00E149DC" w:rsidP="00E149DC">
            <w:pPr>
              <w:ind w:left="522"/>
              <w:rPr>
                <w:sz w:val="24"/>
                <w:szCs w:val="24"/>
              </w:rPr>
            </w:pPr>
          </w:p>
          <w:p w:rsidR="00E149DC" w:rsidRPr="00FA5D4B" w:rsidRDefault="00E149DC" w:rsidP="00E149DC">
            <w:pPr>
              <w:ind w:left="522"/>
              <w:rPr>
                <w:sz w:val="24"/>
                <w:szCs w:val="24"/>
              </w:rPr>
            </w:pPr>
            <w:r w:rsidRPr="00FA5D4B">
              <w:rPr>
                <w:sz w:val="24"/>
                <w:szCs w:val="24"/>
              </w:rPr>
              <w:lastRenderedPageBreak/>
              <w:t>BORNEO OIL BERHAD</w:t>
            </w:r>
          </w:p>
          <w:p w:rsidR="00E149DC" w:rsidRPr="00FA5D4B" w:rsidRDefault="00E149DC" w:rsidP="00E149DC">
            <w:pPr>
              <w:ind w:left="522"/>
              <w:rPr>
                <w:sz w:val="24"/>
                <w:szCs w:val="24"/>
              </w:rPr>
            </w:pPr>
            <w:r w:rsidRPr="00FA5D4B">
              <w:rPr>
                <w:sz w:val="24"/>
                <w:szCs w:val="24"/>
              </w:rPr>
              <w:t>(Company No. 121919-H)</w:t>
            </w:r>
          </w:p>
          <w:p w:rsidR="00E149DC" w:rsidRPr="00FA5D4B" w:rsidRDefault="00E149DC" w:rsidP="00E149DC">
            <w:pPr>
              <w:ind w:left="522"/>
              <w:rPr>
                <w:sz w:val="24"/>
                <w:szCs w:val="24"/>
              </w:rPr>
            </w:pPr>
            <w:r w:rsidRPr="00FA5D4B">
              <w:rPr>
                <w:sz w:val="24"/>
                <w:szCs w:val="24"/>
              </w:rPr>
              <w:t>Incorporated in Malaysia</w:t>
            </w:r>
          </w:p>
          <w:p w:rsidR="00E149DC" w:rsidRPr="00FA5D4B" w:rsidRDefault="00E149DC" w:rsidP="00E149DC">
            <w:pPr>
              <w:ind w:left="522"/>
              <w:rPr>
                <w:sz w:val="24"/>
                <w:szCs w:val="24"/>
              </w:rPr>
            </w:pPr>
          </w:p>
          <w:p w:rsidR="00E149DC" w:rsidRPr="00FA5D4B" w:rsidRDefault="00E149DC" w:rsidP="00E149DC">
            <w:pPr>
              <w:ind w:left="522"/>
              <w:rPr>
                <w:sz w:val="24"/>
                <w:szCs w:val="24"/>
              </w:rPr>
            </w:pPr>
            <w:r w:rsidRPr="00FA5D4B">
              <w:rPr>
                <w:sz w:val="24"/>
                <w:szCs w:val="24"/>
              </w:rPr>
              <w:t>Notes on the quarterly report – 31 October 2017</w:t>
            </w:r>
          </w:p>
          <w:p w:rsidR="00E149DC" w:rsidRDefault="00E149DC" w:rsidP="00E149DC">
            <w:pPr>
              <w:ind w:left="522"/>
              <w:rPr>
                <w:sz w:val="24"/>
                <w:szCs w:val="24"/>
              </w:rPr>
            </w:pPr>
          </w:p>
          <w:p w:rsidR="00E149DC" w:rsidRDefault="00E149DC" w:rsidP="00E149DC">
            <w:pPr>
              <w:ind w:left="522"/>
              <w:rPr>
                <w:sz w:val="24"/>
                <w:szCs w:val="24"/>
              </w:rPr>
            </w:pPr>
          </w:p>
          <w:p w:rsidR="00E149DC" w:rsidRPr="00FA5D4B" w:rsidRDefault="00E149DC" w:rsidP="00E149DC">
            <w:pPr>
              <w:ind w:left="522"/>
              <w:rPr>
                <w:sz w:val="24"/>
                <w:szCs w:val="24"/>
              </w:rPr>
            </w:pPr>
            <w:r w:rsidRPr="00FA5D4B">
              <w:rPr>
                <w:sz w:val="24"/>
                <w:szCs w:val="24"/>
              </w:rPr>
              <w:t>B5.   Taxation</w:t>
            </w:r>
          </w:p>
          <w:p w:rsidR="00E149DC" w:rsidRPr="00FA5D4B" w:rsidRDefault="00E149DC" w:rsidP="00E149DC">
            <w:pPr>
              <w:rPr>
                <w:sz w:val="24"/>
                <w:szCs w:val="24"/>
              </w:rPr>
            </w:pPr>
          </w:p>
          <w:p w:rsidR="00E149DC" w:rsidRPr="00FA5D4B" w:rsidRDefault="00E149DC" w:rsidP="00E149DC">
            <w:pPr>
              <w:ind w:left="972"/>
              <w:rPr>
                <w:b w:val="0"/>
                <w:sz w:val="24"/>
                <w:szCs w:val="24"/>
              </w:rPr>
            </w:pPr>
            <w:r>
              <w:rPr>
                <w:b w:val="0"/>
                <w:sz w:val="24"/>
                <w:szCs w:val="24"/>
              </w:rPr>
              <w:t xml:space="preserve"> </w:t>
            </w:r>
            <w:r w:rsidRPr="00FA5D4B">
              <w:rPr>
                <w:b w:val="0"/>
                <w:sz w:val="24"/>
                <w:szCs w:val="24"/>
              </w:rPr>
              <w:t>No taxation was provided during the quarter under review.</w:t>
            </w:r>
          </w:p>
          <w:p w:rsidR="005F73C4" w:rsidRPr="00FA5D4B" w:rsidRDefault="005F73C4" w:rsidP="00E41BF9">
            <w:pPr>
              <w:rPr>
                <w:sz w:val="24"/>
                <w:szCs w:val="24"/>
              </w:rPr>
            </w:pPr>
          </w:p>
          <w:p w:rsidR="006918C1" w:rsidRPr="00FA5D4B" w:rsidRDefault="006918C1" w:rsidP="00AE79A8">
            <w:pPr>
              <w:ind w:left="522"/>
              <w:rPr>
                <w:sz w:val="24"/>
                <w:szCs w:val="24"/>
              </w:rPr>
            </w:pPr>
            <w:r w:rsidRPr="00FA5D4B">
              <w:rPr>
                <w:sz w:val="24"/>
                <w:szCs w:val="24"/>
              </w:rPr>
              <w:t>B6.  Corporate Proposals</w:t>
            </w:r>
          </w:p>
          <w:p w:rsidR="006918C1" w:rsidRPr="00FA5D4B" w:rsidRDefault="006918C1" w:rsidP="006918C1">
            <w:pPr>
              <w:rPr>
                <w:sz w:val="24"/>
                <w:szCs w:val="24"/>
              </w:rPr>
            </w:pPr>
          </w:p>
          <w:p w:rsidR="00E559DC" w:rsidRPr="00FA5D4B" w:rsidRDefault="006918C1" w:rsidP="00AE79A8">
            <w:pPr>
              <w:pStyle w:val="BodyTextIndent2"/>
              <w:ind w:left="972" w:firstLine="0"/>
              <w:rPr>
                <w:rFonts w:ascii="Times New Roman" w:hAnsi="Times New Roman"/>
                <w:b w:val="0"/>
                <w:sz w:val="24"/>
                <w:szCs w:val="24"/>
              </w:rPr>
            </w:pPr>
            <w:r w:rsidRPr="00FA5D4B">
              <w:rPr>
                <w:rFonts w:ascii="Times New Roman" w:hAnsi="Times New Roman"/>
                <w:b w:val="0"/>
                <w:sz w:val="24"/>
                <w:szCs w:val="24"/>
              </w:rPr>
              <w:t>There was no new corpo</w:t>
            </w:r>
            <w:r w:rsidR="005A6347" w:rsidRPr="00FA5D4B">
              <w:rPr>
                <w:rFonts w:ascii="Times New Roman" w:hAnsi="Times New Roman"/>
                <w:b w:val="0"/>
                <w:sz w:val="24"/>
                <w:szCs w:val="24"/>
              </w:rPr>
              <w:t>rate proposal during the quarter.</w:t>
            </w:r>
          </w:p>
          <w:p w:rsidR="00E559DC" w:rsidRPr="00FA5D4B" w:rsidRDefault="00E559DC" w:rsidP="00E41BF9">
            <w:pPr>
              <w:rPr>
                <w:sz w:val="24"/>
                <w:szCs w:val="24"/>
              </w:rPr>
            </w:pPr>
          </w:p>
          <w:p w:rsidR="002B795C" w:rsidRPr="00FA5D4B" w:rsidRDefault="002A234B" w:rsidP="00B84DA9">
            <w:pPr>
              <w:rPr>
                <w:sz w:val="24"/>
                <w:szCs w:val="24"/>
              </w:rPr>
            </w:pPr>
            <w:r w:rsidRPr="00FA5D4B">
              <w:rPr>
                <w:sz w:val="24"/>
                <w:szCs w:val="24"/>
              </w:rPr>
              <w:t xml:space="preserve">         </w:t>
            </w:r>
            <w:r w:rsidR="00700A41" w:rsidRPr="00FA5D4B">
              <w:rPr>
                <w:sz w:val="24"/>
                <w:szCs w:val="24"/>
              </w:rPr>
              <w:t xml:space="preserve">                                </w:t>
            </w:r>
            <w:r w:rsidR="006918C1" w:rsidRPr="00FA5D4B">
              <w:rPr>
                <w:sz w:val="24"/>
                <w:szCs w:val="24"/>
              </w:rPr>
              <w:t xml:space="preserve">                           </w:t>
            </w:r>
            <w:r w:rsidR="00F977F4" w:rsidRPr="00FA5D4B">
              <w:rPr>
                <w:sz w:val="24"/>
                <w:szCs w:val="24"/>
              </w:rPr>
              <w:t xml:space="preserve">                                                                        </w:t>
            </w:r>
            <w:r w:rsidR="00B84DA9" w:rsidRPr="00FA5D4B">
              <w:rPr>
                <w:sz w:val="24"/>
                <w:szCs w:val="24"/>
              </w:rPr>
              <w:t xml:space="preserve">                       </w:t>
            </w:r>
            <w:r w:rsidR="0039453F" w:rsidRPr="00FA5D4B">
              <w:rPr>
                <w:sz w:val="24"/>
                <w:szCs w:val="24"/>
              </w:rPr>
              <w:t xml:space="preserve">                                  </w:t>
            </w:r>
            <w:r w:rsidR="00B84DA9" w:rsidRPr="00FA5D4B">
              <w:rPr>
                <w:sz w:val="24"/>
                <w:szCs w:val="24"/>
              </w:rPr>
              <w:t xml:space="preserve">                                 </w:t>
            </w:r>
          </w:p>
        </w:tc>
        <w:tc>
          <w:tcPr>
            <w:tcW w:w="1417" w:type="dxa"/>
            <w:gridSpan w:val="2"/>
            <w:vAlign w:val="bottom"/>
          </w:tcPr>
          <w:p w:rsidR="003F67D3" w:rsidRPr="00FA5D4B" w:rsidRDefault="003F67D3" w:rsidP="00E41BF9">
            <w:pPr>
              <w:rPr>
                <w:sz w:val="24"/>
                <w:szCs w:val="24"/>
              </w:rPr>
            </w:pPr>
          </w:p>
        </w:tc>
        <w:tc>
          <w:tcPr>
            <w:tcW w:w="691" w:type="dxa"/>
            <w:gridSpan w:val="2"/>
          </w:tcPr>
          <w:p w:rsidR="003F67D3" w:rsidRPr="00FA5D4B" w:rsidRDefault="007D1B7C" w:rsidP="00E41BF9">
            <w:pPr>
              <w:rPr>
                <w:sz w:val="24"/>
                <w:szCs w:val="24"/>
              </w:rPr>
            </w:pPr>
            <w:r w:rsidRPr="00FA5D4B">
              <w:rPr>
                <w:sz w:val="24"/>
                <w:szCs w:val="24"/>
              </w:rPr>
              <w:t xml:space="preserve">   </w:t>
            </w:r>
          </w:p>
        </w:tc>
        <w:tc>
          <w:tcPr>
            <w:tcW w:w="1403" w:type="dxa"/>
            <w:gridSpan w:val="2"/>
            <w:vAlign w:val="bottom"/>
          </w:tcPr>
          <w:p w:rsidR="003F67D3" w:rsidRPr="00FA5D4B" w:rsidRDefault="008637EF" w:rsidP="00E41BF9">
            <w:pPr>
              <w:rPr>
                <w:sz w:val="24"/>
                <w:szCs w:val="24"/>
              </w:rPr>
            </w:pPr>
            <w:r w:rsidRPr="00FA5D4B">
              <w:rPr>
                <w:sz w:val="24"/>
                <w:szCs w:val="24"/>
              </w:rPr>
              <w:t xml:space="preserve">    </w:t>
            </w:r>
          </w:p>
        </w:tc>
      </w:tr>
      <w:tr w:rsidR="003F67D3" w:rsidRPr="00FA5D4B" w:rsidTr="003731D3">
        <w:trPr>
          <w:gridAfter w:val="1"/>
          <w:wAfter w:w="504" w:type="dxa"/>
          <w:trHeight w:val="828"/>
        </w:trPr>
        <w:tc>
          <w:tcPr>
            <w:tcW w:w="9720" w:type="dxa"/>
            <w:gridSpan w:val="2"/>
            <w:tcBorders>
              <w:top w:val="single" w:sz="4" w:space="0" w:color="auto"/>
            </w:tcBorders>
          </w:tcPr>
          <w:p w:rsidR="003731D3" w:rsidRPr="00FA5D4B" w:rsidRDefault="003731D3" w:rsidP="00E41BF9">
            <w:pPr>
              <w:rPr>
                <w:sz w:val="24"/>
                <w:szCs w:val="24"/>
              </w:rPr>
            </w:pPr>
          </w:p>
          <w:p w:rsidR="00302C41" w:rsidRPr="00FA5D4B" w:rsidRDefault="0007375B" w:rsidP="00AE79A8">
            <w:pPr>
              <w:ind w:left="522"/>
              <w:rPr>
                <w:sz w:val="24"/>
                <w:szCs w:val="24"/>
              </w:rPr>
            </w:pPr>
            <w:r w:rsidRPr="00FA5D4B">
              <w:rPr>
                <w:sz w:val="24"/>
                <w:szCs w:val="24"/>
              </w:rPr>
              <w:t xml:space="preserve">B7. </w:t>
            </w:r>
            <w:r w:rsidR="00455694" w:rsidRPr="00FA5D4B">
              <w:rPr>
                <w:sz w:val="24"/>
                <w:szCs w:val="24"/>
              </w:rPr>
              <w:t xml:space="preserve"> </w:t>
            </w:r>
            <w:r w:rsidRPr="00FA5D4B">
              <w:rPr>
                <w:sz w:val="24"/>
                <w:szCs w:val="24"/>
              </w:rPr>
              <w:t xml:space="preserve">Borrowings and Debts Securities </w:t>
            </w:r>
          </w:p>
          <w:p w:rsidR="00302C41" w:rsidRPr="00FA5D4B" w:rsidRDefault="00302C41" w:rsidP="00E41BF9">
            <w:pPr>
              <w:rPr>
                <w:sz w:val="24"/>
                <w:szCs w:val="24"/>
              </w:rPr>
            </w:pPr>
          </w:p>
          <w:p w:rsidR="0007375B" w:rsidRPr="00FA5D4B" w:rsidRDefault="00AE79A8" w:rsidP="00AE79A8">
            <w:pPr>
              <w:ind w:left="522"/>
              <w:rPr>
                <w:sz w:val="24"/>
                <w:szCs w:val="24"/>
              </w:rPr>
            </w:pPr>
            <w:r w:rsidRPr="00FA5D4B">
              <w:rPr>
                <w:sz w:val="24"/>
                <w:szCs w:val="24"/>
              </w:rPr>
              <w:object w:dxaOrig="8455" w:dyaOrig="5131">
                <v:shape id="_x0000_i1033" type="#_x0000_t75" style="width:448.75pt;height:279.65pt" o:ole="">
                  <v:imagedata r:id="rId27" o:title=""/>
                </v:shape>
                <o:OLEObject Type="Embed" ProgID="Excel.Sheet.12" ShapeID="_x0000_i1033" DrawAspect="Content" ObjectID="_1576078823" r:id="rId28"/>
              </w:object>
            </w:r>
          </w:p>
          <w:p w:rsidR="00302C41" w:rsidRPr="00FA5D4B" w:rsidRDefault="00302C41" w:rsidP="00E41BF9">
            <w:pPr>
              <w:rPr>
                <w:sz w:val="24"/>
                <w:szCs w:val="24"/>
              </w:rPr>
            </w:pPr>
          </w:p>
          <w:p w:rsidR="00C93F67" w:rsidRPr="00FA5D4B" w:rsidRDefault="00302C41" w:rsidP="00AE79A8">
            <w:pPr>
              <w:ind w:left="522"/>
              <w:rPr>
                <w:b w:val="0"/>
                <w:sz w:val="24"/>
                <w:szCs w:val="24"/>
              </w:rPr>
            </w:pPr>
            <w:r w:rsidRPr="00FA5D4B">
              <w:rPr>
                <w:b w:val="0"/>
                <w:sz w:val="24"/>
                <w:szCs w:val="24"/>
              </w:rPr>
              <w:t>All the above borrowings are denominated in Ringgit Malay</w:t>
            </w:r>
            <w:r w:rsidR="00C93F67" w:rsidRPr="00FA5D4B">
              <w:rPr>
                <w:b w:val="0"/>
                <w:sz w:val="24"/>
                <w:szCs w:val="24"/>
              </w:rPr>
              <w:t xml:space="preserve">sia     </w:t>
            </w:r>
          </w:p>
          <w:p w:rsidR="006372DF" w:rsidRPr="00FA5D4B" w:rsidRDefault="007B364D" w:rsidP="007B364D">
            <w:pPr>
              <w:rPr>
                <w:sz w:val="24"/>
                <w:szCs w:val="24"/>
              </w:rPr>
            </w:pPr>
            <w:r w:rsidRPr="00FA5D4B">
              <w:rPr>
                <w:sz w:val="24"/>
                <w:szCs w:val="24"/>
              </w:rPr>
              <w:t xml:space="preserve"> </w:t>
            </w:r>
          </w:p>
          <w:p w:rsidR="000442F1" w:rsidRPr="00FA5D4B" w:rsidRDefault="000442F1" w:rsidP="00AE79A8">
            <w:pPr>
              <w:pStyle w:val="BodyTextIndent2"/>
              <w:ind w:hanging="198"/>
              <w:rPr>
                <w:rFonts w:ascii="Times New Roman" w:hAnsi="Times New Roman"/>
                <w:sz w:val="24"/>
                <w:szCs w:val="24"/>
              </w:rPr>
            </w:pPr>
            <w:r w:rsidRPr="00FA5D4B">
              <w:rPr>
                <w:rFonts w:ascii="Times New Roman" w:hAnsi="Times New Roman"/>
                <w:sz w:val="24"/>
                <w:szCs w:val="24"/>
              </w:rPr>
              <w:t>B8.   Material Litigation</w:t>
            </w:r>
          </w:p>
          <w:p w:rsidR="000442F1" w:rsidRPr="00FA5D4B" w:rsidRDefault="000442F1" w:rsidP="000442F1">
            <w:pPr>
              <w:pStyle w:val="BodyTextIndent2"/>
              <w:rPr>
                <w:rFonts w:ascii="Times New Roman" w:hAnsi="Times New Roman"/>
                <w:sz w:val="24"/>
                <w:szCs w:val="24"/>
              </w:rPr>
            </w:pPr>
          </w:p>
          <w:p w:rsidR="000442F1" w:rsidRPr="00FA5D4B" w:rsidRDefault="000442F1" w:rsidP="000442F1">
            <w:pPr>
              <w:pStyle w:val="BodyTextIndent2"/>
              <w:ind w:left="522" w:firstLine="0"/>
              <w:rPr>
                <w:rFonts w:ascii="Times New Roman" w:hAnsi="Times New Roman"/>
                <w:b w:val="0"/>
                <w:sz w:val="24"/>
                <w:szCs w:val="24"/>
              </w:rPr>
            </w:pPr>
            <w:r w:rsidRPr="00FA5D4B">
              <w:rPr>
                <w:rFonts w:ascii="Times New Roman" w:hAnsi="Times New Roman"/>
                <w:b w:val="0"/>
                <w:sz w:val="24"/>
                <w:szCs w:val="24"/>
              </w:rPr>
              <w:t>There is no material litigation that will have a material effect on the financial position and operation of the Company and the Group.</w:t>
            </w:r>
          </w:p>
          <w:p w:rsidR="000442F1" w:rsidRPr="00FA5D4B" w:rsidRDefault="000442F1" w:rsidP="000442F1">
            <w:pPr>
              <w:pStyle w:val="BodyTextIndent2"/>
              <w:ind w:left="0" w:firstLine="0"/>
              <w:rPr>
                <w:rFonts w:ascii="Times New Roman" w:hAnsi="Times New Roman"/>
                <w:sz w:val="24"/>
                <w:szCs w:val="24"/>
              </w:rPr>
            </w:pPr>
          </w:p>
          <w:p w:rsidR="000442F1" w:rsidRPr="00FA5D4B" w:rsidRDefault="000442F1" w:rsidP="000442F1">
            <w:pPr>
              <w:pStyle w:val="BodyTextIndent2"/>
              <w:ind w:left="0" w:firstLine="0"/>
              <w:rPr>
                <w:rFonts w:ascii="Times New Roman" w:hAnsi="Times New Roman"/>
                <w:sz w:val="24"/>
                <w:szCs w:val="24"/>
              </w:rPr>
            </w:pPr>
          </w:p>
          <w:p w:rsidR="000442F1" w:rsidRPr="00FA5D4B" w:rsidRDefault="000442F1" w:rsidP="00AE79A8">
            <w:pPr>
              <w:pStyle w:val="BodyTextIndent2"/>
              <w:ind w:hanging="198"/>
              <w:rPr>
                <w:rFonts w:ascii="Times New Roman" w:hAnsi="Times New Roman"/>
                <w:sz w:val="24"/>
                <w:szCs w:val="24"/>
              </w:rPr>
            </w:pPr>
            <w:r w:rsidRPr="00FA5D4B">
              <w:rPr>
                <w:rFonts w:ascii="Times New Roman" w:hAnsi="Times New Roman"/>
                <w:sz w:val="24"/>
                <w:szCs w:val="24"/>
              </w:rPr>
              <w:t>B9.   Dividends</w:t>
            </w:r>
          </w:p>
          <w:p w:rsidR="000442F1" w:rsidRPr="00FA5D4B" w:rsidRDefault="000442F1" w:rsidP="000442F1">
            <w:pPr>
              <w:pStyle w:val="BodyTextIndent2"/>
              <w:rPr>
                <w:rFonts w:ascii="Times New Roman" w:hAnsi="Times New Roman"/>
                <w:sz w:val="24"/>
                <w:szCs w:val="24"/>
              </w:rPr>
            </w:pPr>
          </w:p>
          <w:p w:rsidR="000442F1" w:rsidRPr="00FA5D4B" w:rsidRDefault="000442F1" w:rsidP="00AE79A8">
            <w:pPr>
              <w:ind w:left="522"/>
              <w:rPr>
                <w:b w:val="0"/>
                <w:sz w:val="24"/>
                <w:szCs w:val="24"/>
              </w:rPr>
            </w:pPr>
            <w:r w:rsidRPr="00FA5D4B">
              <w:rPr>
                <w:sz w:val="24"/>
                <w:szCs w:val="24"/>
              </w:rPr>
              <w:t xml:space="preserve">      </w:t>
            </w:r>
            <w:r w:rsidRPr="00FA5D4B">
              <w:rPr>
                <w:b w:val="0"/>
                <w:sz w:val="24"/>
                <w:szCs w:val="24"/>
              </w:rPr>
              <w:t xml:space="preserve">There was no dividend proposed or declared during the current quarter.     </w:t>
            </w:r>
          </w:p>
          <w:p w:rsidR="00AE79A8" w:rsidRDefault="00AE79A8" w:rsidP="00AE79A8">
            <w:pPr>
              <w:jc w:val="center"/>
              <w:rPr>
                <w:b w:val="0"/>
                <w:sz w:val="20"/>
                <w:szCs w:val="20"/>
              </w:rPr>
            </w:pPr>
          </w:p>
          <w:p w:rsidR="006372DF" w:rsidRPr="00AE79A8" w:rsidRDefault="00AE79A8" w:rsidP="00AE79A8">
            <w:pPr>
              <w:jc w:val="center"/>
              <w:rPr>
                <w:b w:val="0"/>
                <w:sz w:val="20"/>
                <w:szCs w:val="20"/>
              </w:rPr>
            </w:pPr>
            <w:r w:rsidRPr="00AE79A8">
              <w:rPr>
                <w:b w:val="0"/>
                <w:sz w:val="20"/>
                <w:szCs w:val="20"/>
              </w:rPr>
              <w:t>12</w:t>
            </w:r>
          </w:p>
          <w:p w:rsidR="00AE79A8" w:rsidRDefault="00AE79A8" w:rsidP="00AE79A8">
            <w:pPr>
              <w:pStyle w:val="BodyTextIndent2"/>
              <w:rPr>
                <w:rFonts w:ascii="Times New Roman" w:hAnsi="Times New Roman"/>
                <w:sz w:val="24"/>
                <w:szCs w:val="24"/>
              </w:rPr>
            </w:pPr>
          </w:p>
          <w:p w:rsidR="00AE79A8" w:rsidRPr="00FA5D4B" w:rsidRDefault="0077577D" w:rsidP="00AE79A8">
            <w:pPr>
              <w:pStyle w:val="BodyTextIndent2"/>
              <w:rPr>
                <w:rFonts w:ascii="Times New Roman" w:hAnsi="Times New Roman"/>
                <w:sz w:val="24"/>
                <w:szCs w:val="24"/>
              </w:rPr>
            </w:pPr>
            <w:r w:rsidRPr="0077577D">
              <w:rPr>
                <w:rFonts w:ascii="Times New Roman" w:hAnsi="Times New Roman"/>
                <w:noProof/>
                <w:sz w:val="24"/>
                <w:szCs w:val="24"/>
              </w:rPr>
              <w:pict>
                <v:shape id="_x0000_s1123" type="#_x0000_t202" style="position:absolute;left:0;text-align:left;margin-left:243pt;margin-top:13.45pt;width:25.5pt;height:19.5pt;z-index:251662336" stroked="f">
                  <v:textbox style="mso-next-textbox:#_x0000_s1123">
                    <w:txbxContent>
                      <w:p w:rsidR="00AE79A8" w:rsidRPr="00B343E8" w:rsidRDefault="00AE79A8" w:rsidP="00AE79A8"/>
                    </w:txbxContent>
                  </v:textbox>
                </v:shape>
              </w:pict>
            </w:r>
            <w:r w:rsidR="00AE79A8" w:rsidRPr="00FA5D4B">
              <w:rPr>
                <w:rFonts w:ascii="Times New Roman" w:hAnsi="Times New Roman"/>
                <w:sz w:val="24"/>
                <w:szCs w:val="24"/>
              </w:rPr>
              <w:t>BORNEO OIL BERHAD</w:t>
            </w:r>
          </w:p>
          <w:p w:rsidR="00AE79A8" w:rsidRPr="00FA5D4B" w:rsidRDefault="00AE79A8" w:rsidP="00AE79A8">
            <w:pPr>
              <w:rPr>
                <w:sz w:val="24"/>
                <w:szCs w:val="24"/>
              </w:rPr>
            </w:pPr>
            <w:r w:rsidRPr="00FA5D4B">
              <w:rPr>
                <w:sz w:val="24"/>
                <w:szCs w:val="24"/>
              </w:rPr>
              <w:t>(Company No. 121919-H)</w:t>
            </w:r>
          </w:p>
          <w:p w:rsidR="00AE79A8" w:rsidRPr="00FA5D4B" w:rsidRDefault="00AE79A8" w:rsidP="00AE79A8">
            <w:pPr>
              <w:rPr>
                <w:sz w:val="24"/>
                <w:szCs w:val="24"/>
              </w:rPr>
            </w:pPr>
            <w:r w:rsidRPr="00FA5D4B">
              <w:rPr>
                <w:sz w:val="24"/>
                <w:szCs w:val="24"/>
              </w:rPr>
              <w:t>Incorporated in Malaysia</w:t>
            </w:r>
          </w:p>
          <w:p w:rsidR="00AE79A8" w:rsidRPr="00FA5D4B" w:rsidRDefault="00AE79A8" w:rsidP="00AE79A8">
            <w:pPr>
              <w:rPr>
                <w:sz w:val="24"/>
                <w:szCs w:val="24"/>
              </w:rPr>
            </w:pPr>
          </w:p>
          <w:p w:rsidR="00AE79A8" w:rsidRPr="00FA5D4B" w:rsidRDefault="00AE79A8" w:rsidP="00AE79A8">
            <w:pPr>
              <w:rPr>
                <w:sz w:val="24"/>
                <w:szCs w:val="24"/>
              </w:rPr>
            </w:pPr>
            <w:r w:rsidRPr="00FA5D4B">
              <w:rPr>
                <w:sz w:val="24"/>
                <w:szCs w:val="24"/>
              </w:rPr>
              <w:t>Notes on the quarterly report – 31 October 2017</w:t>
            </w:r>
          </w:p>
          <w:p w:rsidR="00302C41" w:rsidRPr="00FA5D4B" w:rsidRDefault="00302C41" w:rsidP="00AE79A8">
            <w:pPr>
              <w:rPr>
                <w:sz w:val="24"/>
                <w:szCs w:val="24"/>
              </w:rPr>
            </w:pPr>
          </w:p>
        </w:tc>
        <w:tc>
          <w:tcPr>
            <w:tcW w:w="1417" w:type="dxa"/>
            <w:gridSpan w:val="2"/>
            <w:vAlign w:val="bottom"/>
          </w:tcPr>
          <w:p w:rsidR="003F67D3" w:rsidRPr="00FA5D4B" w:rsidRDefault="003F67D3" w:rsidP="00E41BF9">
            <w:pPr>
              <w:rPr>
                <w:sz w:val="24"/>
                <w:szCs w:val="24"/>
              </w:rPr>
            </w:pPr>
          </w:p>
        </w:tc>
        <w:tc>
          <w:tcPr>
            <w:tcW w:w="691" w:type="dxa"/>
            <w:gridSpan w:val="2"/>
          </w:tcPr>
          <w:p w:rsidR="003F67D3" w:rsidRPr="00FA5D4B" w:rsidRDefault="003F67D3" w:rsidP="00E41BF9">
            <w:pPr>
              <w:rPr>
                <w:sz w:val="24"/>
                <w:szCs w:val="24"/>
              </w:rPr>
            </w:pPr>
          </w:p>
        </w:tc>
        <w:tc>
          <w:tcPr>
            <w:tcW w:w="1403" w:type="dxa"/>
            <w:gridSpan w:val="2"/>
            <w:vAlign w:val="bottom"/>
          </w:tcPr>
          <w:p w:rsidR="003F67D3" w:rsidRPr="00FA5D4B" w:rsidRDefault="003F67D3" w:rsidP="00E41BF9">
            <w:pPr>
              <w:rPr>
                <w:sz w:val="24"/>
                <w:szCs w:val="24"/>
              </w:rPr>
            </w:pPr>
          </w:p>
        </w:tc>
      </w:tr>
      <w:tr w:rsidR="00AE79A8" w:rsidRPr="00FA5D4B" w:rsidTr="00AE79A8">
        <w:trPr>
          <w:gridAfter w:val="1"/>
          <w:wAfter w:w="504" w:type="dxa"/>
          <w:trHeight w:val="4842"/>
        </w:trPr>
        <w:tc>
          <w:tcPr>
            <w:tcW w:w="9720" w:type="dxa"/>
            <w:gridSpan w:val="2"/>
          </w:tcPr>
          <w:p w:rsidR="00AE79A8" w:rsidRPr="00FA5D4B" w:rsidRDefault="00AE79A8" w:rsidP="00E41BF9">
            <w:pPr>
              <w:rPr>
                <w:sz w:val="24"/>
                <w:szCs w:val="24"/>
              </w:rPr>
            </w:pPr>
          </w:p>
          <w:p w:rsidR="00AE79A8" w:rsidRPr="00FA5D4B" w:rsidRDefault="00AE79A8" w:rsidP="00E41BF9">
            <w:pPr>
              <w:pStyle w:val="BodyTextIndent2"/>
              <w:rPr>
                <w:rFonts w:ascii="Times New Roman" w:hAnsi="Times New Roman"/>
                <w:sz w:val="24"/>
                <w:szCs w:val="24"/>
              </w:rPr>
            </w:pPr>
            <w:r w:rsidRPr="00FA5D4B">
              <w:rPr>
                <w:rFonts w:ascii="Times New Roman" w:hAnsi="Times New Roman"/>
                <w:sz w:val="24"/>
                <w:szCs w:val="24"/>
              </w:rPr>
              <w:t xml:space="preserve">B10. </w:t>
            </w:r>
            <w:r w:rsidRPr="00FA5D4B">
              <w:rPr>
                <w:rFonts w:ascii="Times New Roman" w:hAnsi="Times New Roman"/>
                <w:sz w:val="24"/>
                <w:szCs w:val="24"/>
              </w:rPr>
              <w:tab/>
              <w:t>Earnings per share</w:t>
            </w:r>
          </w:p>
          <w:p w:rsidR="00AE79A8" w:rsidRPr="00FA5D4B" w:rsidRDefault="00AE79A8" w:rsidP="00E41BF9">
            <w:pPr>
              <w:pStyle w:val="BodyTextIndent2"/>
              <w:rPr>
                <w:rFonts w:ascii="Times New Roman" w:hAnsi="Times New Roman"/>
                <w:sz w:val="24"/>
                <w:szCs w:val="24"/>
              </w:rPr>
            </w:pPr>
          </w:p>
          <w:p w:rsidR="00AE79A8" w:rsidRPr="00AE79A8" w:rsidRDefault="00AE79A8" w:rsidP="00AE79A8">
            <w:pPr>
              <w:rPr>
                <w:sz w:val="24"/>
                <w:szCs w:val="24"/>
              </w:rPr>
            </w:pPr>
            <w:r w:rsidRPr="00FA5D4B">
              <w:rPr>
                <w:sz w:val="24"/>
                <w:szCs w:val="24"/>
              </w:rPr>
              <w:object w:dxaOrig="10289" w:dyaOrig="3520">
                <v:shape id="_x0000_i1034" type="#_x0000_t75" style="width:478.05pt;height:172.45pt" o:ole="">
                  <v:imagedata r:id="rId29" o:title=""/>
                </v:shape>
                <o:OLEObject Type="Embed" ProgID="Excel.Sheet.12" ShapeID="_x0000_i1034" DrawAspect="Content" ObjectID="_1576078824" r:id="rId30"/>
              </w:object>
            </w:r>
            <w:r w:rsidRPr="00FA5D4B">
              <w:rPr>
                <w:sz w:val="24"/>
                <w:szCs w:val="24"/>
              </w:rPr>
              <w:t xml:space="preserve">                                                                        </w:t>
            </w:r>
          </w:p>
        </w:tc>
        <w:tc>
          <w:tcPr>
            <w:tcW w:w="1417" w:type="dxa"/>
            <w:gridSpan w:val="2"/>
            <w:vAlign w:val="bottom"/>
          </w:tcPr>
          <w:p w:rsidR="00AE79A8" w:rsidRPr="00FA5D4B" w:rsidRDefault="00AE79A8" w:rsidP="00E41BF9">
            <w:pPr>
              <w:rPr>
                <w:sz w:val="24"/>
                <w:szCs w:val="24"/>
              </w:rPr>
            </w:pPr>
          </w:p>
        </w:tc>
        <w:tc>
          <w:tcPr>
            <w:tcW w:w="691" w:type="dxa"/>
            <w:gridSpan w:val="2"/>
          </w:tcPr>
          <w:p w:rsidR="00AE79A8" w:rsidRPr="00FA5D4B" w:rsidRDefault="00AE79A8" w:rsidP="00E41BF9">
            <w:pPr>
              <w:rPr>
                <w:sz w:val="24"/>
                <w:szCs w:val="24"/>
              </w:rPr>
            </w:pPr>
          </w:p>
        </w:tc>
        <w:tc>
          <w:tcPr>
            <w:tcW w:w="1403" w:type="dxa"/>
            <w:gridSpan w:val="2"/>
            <w:vAlign w:val="bottom"/>
          </w:tcPr>
          <w:p w:rsidR="00AE79A8" w:rsidRPr="00FA5D4B" w:rsidRDefault="00AE79A8" w:rsidP="00E41BF9">
            <w:pPr>
              <w:rPr>
                <w:sz w:val="24"/>
                <w:szCs w:val="24"/>
              </w:rPr>
            </w:pPr>
          </w:p>
        </w:tc>
      </w:tr>
    </w:tbl>
    <w:p w:rsidR="00C8215A" w:rsidRPr="00FA5D4B" w:rsidRDefault="00C8215A" w:rsidP="00AE79A8">
      <w:pPr>
        <w:ind w:left="90"/>
        <w:rPr>
          <w:sz w:val="24"/>
          <w:szCs w:val="24"/>
        </w:rPr>
      </w:pPr>
      <w:r w:rsidRPr="00FA5D4B">
        <w:rPr>
          <w:sz w:val="24"/>
          <w:szCs w:val="24"/>
        </w:rPr>
        <w:t>B11.</w:t>
      </w:r>
      <w:r w:rsidRPr="00FA5D4B">
        <w:rPr>
          <w:sz w:val="24"/>
          <w:szCs w:val="24"/>
        </w:rPr>
        <w:tab/>
      </w:r>
      <w:proofErr w:type="spellStart"/>
      <w:r w:rsidRPr="00FA5D4B">
        <w:rPr>
          <w:sz w:val="24"/>
          <w:szCs w:val="24"/>
        </w:rPr>
        <w:t>Realised</w:t>
      </w:r>
      <w:proofErr w:type="spellEnd"/>
      <w:r w:rsidRPr="00FA5D4B">
        <w:rPr>
          <w:sz w:val="24"/>
          <w:szCs w:val="24"/>
        </w:rPr>
        <w:t xml:space="preserve"> and </w:t>
      </w:r>
      <w:proofErr w:type="spellStart"/>
      <w:r w:rsidRPr="00FA5D4B">
        <w:rPr>
          <w:sz w:val="24"/>
          <w:szCs w:val="24"/>
        </w:rPr>
        <w:t>Unrealised</w:t>
      </w:r>
      <w:proofErr w:type="spellEnd"/>
      <w:r w:rsidRPr="00FA5D4B">
        <w:rPr>
          <w:sz w:val="24"/>
          <w:szCs w:val="24"/>
        </w:rPr>
        <w:t xml:space="preserve"> Profits/Losses Disclosure</w:t>
      </w:r>
    </w:p>
    <w:p w:rsidR="00C8215A" w:rsidRPr="00FA5D4B" w:rsidRDefault="00C8215A" w:rsidP="00E41BF9">
      <w:pPr>
        <w:rPr>
          <w:sz w:val="24"/>
          <w:szCs w:val="24"/>
        </w:rPr>
      </w:pPr>
    </w:p>
    <w:p w:rsidR="003F67D3" w:rsidRPr="00FA5D4B" w:rsidRDefault="00BA4F15" w:rsidP="00AE79A8">
      <w:pPr>
        <w:ind w:left="180"/>
        <w:rPr>
          <w:sz w:val="24"/>
          <w:szCs w:val="24"/>
        </w:rPr>
      </w:pPr>
      <w:r w:rsidRPr="00FA5D4B">
        <w:rPr>
          <w:sz w:val="24"/>
          <w:szCs w:val="24"/>
        </w:rPr>
        <w:object w:dxaOrig="9018" w:dyaOrig="3825">
          <v:shape id="_x0000_i1035" type="#_x0000_t75" style="width:451.25pt;height:190.9pt" o:ole="">
            <v:imagedata r:id="rId31" o:title=""/>
          </v:shape>
          <o:OLEObject Type="Embed" ProgID="Excel.Sheet.12" ShapeID="_x0000_i1035" DrawAspect="Content" ObjectID="_1576078825" r:id="rId32"/>
        </w:object>
      </w:r>
      <w:r w:rsidR="003F67D3" w:rsidRPr="00FA5D4B">
        <w:rPr>
          <w:sz w:val="24"/>
          <w:szCs w:val="24"/>
        </w:rPr>
        <w:tab/>
        <w:t xml:space="preserve"> </w:t>
      </w:r>
    </w:p>
    <w:p w:rsidR="006B363B" w:rsidRPr="00FA5D4B" w:rsidRDefault="006B363B" w:rsidP="00E41BF9">
      <w:pPr>
        <w:pStyle w:val="BodyTextIndent2"/>
        <w:rPr>
          <w:rFonts w:ascii="Times New Roman" w:hAnsi="Times New Roman"/>
          <w:sz w:val="24"/>
          <w:szCs w:val="24"/>
        </w:rPr>
      </w:pPr>
    </w:p>
    <w:p w:rsidR="0027055B" w:rsidRPr="00FA5D4B" w:rsidRDefault="0027055B" w:rsidP="00E41BF9">
      <w:pPr>
        <w:pStyle w:val="BodyTextIndent2"/>
        <w:rPr>
          <w:rFonts w:ascii="Times New Roman" w:hAnsi="Times New Roman"/>
          <w:b w:val="0"/>
          <w:sz w:val="24"/>
          <w:szCs w:val="24"/>
        </w:rPr>
      </w:pPr>
    </w:p>
    <w:p w:rsidR="00621639" w:rsidRPr="00FA5D4B" w:rsidRDefault="00A67AE6" w:rsidP="00AE79A8">
      <w:pPr>
        <w:pStyle w:val="BodyTextIndent2"/>
        <w:ind w:hanging="630"/>
        <w:rPr>
          <w:rFonts w:ascii="Times New Roman" w:hAnsi="Times New Roman"/>
          <w:b w:val="0"/>
          <w:sz w:val="24"/>
          <w:szCs w:val="24"/>
        </w:rPr>
      </w:pPr>
      <w:r w:rsidRPr="00FA5D4B">
        <w:rPr>
          <w:rFonts w:ascii="Times New Roman" w:hAnsi="Times New Roman"/>
          <w:b w:val="0"/>
          <w:sz w:val="24"/>
          <w:szCs w:val="24"/>
        </w:rPr>
        <w:t xml:space="preserve">The disclosure of realised and unrealised profits/losses above is solely for compliance </w:t>
      </w:r>
      <w:r w:rsidR="00860CE5" w:rsidRPr="00FA5D4B">
        <w:rPr>
          <w:rFonts w:ascii="Times New Roman" w:hAnsi="Times New Roman"/>
          <w:b w:val="0"/>
          <w:sz w:val="24"/>
          <w:szCs w:val="24"/>
        </w:rPr>
        <w:t>with the directive</w:t>
      </w:r>
    </w:p>
    <w:p w:rsidR="003F67D3" w:rsidRPr="00FA5D4B" w:rsidRDefault="00860CE5" w:rsidP="00AE79A8">
      <w:pPr>
        <w:pStyle w:val="BodyTextIndent2"/>
        <w:ind w:hanging="630"/>
        <w:rPr>
          <w:rFonts w:ascii="Times New Roman" w:hAnsi="Times New Roman"/>
          <w:sz w:val="24"/>
          <w:szCs w:val="24"/>
        </w:rPr>
      </w:pPr>
      <w:r w:rsidRPr="00FA5D4B">
        <w:rPr>
          <w:rFonts w:ascii="Times New Roman" w:hAnsi="Times New Roman"/>
          <w:b w:val="0"/>
          <w:sz w:val="24"/>
          <w:szCs w:val="24"/>
        </w:rPr>
        <w:t xml:space="preserve"> </w:t>
      </w:r>
      <w:proofErr w:type="gramStart"/>
      <w:r w:rsidRPr="00FA5D4B">
        <w:rPr>
          <w:rFonts w:ascii="Times New Roman" w:hAnsi="Times New Roman"/>
          <w:b w:val="0"/>
          <w:sz w:val="24"/>
          <w:szCs w:val="24"/>
        </w:rPr>
        <w:t>issued</w:t>
      </w:r>
      <w:proofErr w:type="gramEnd"/>
      <w:r w:rsidRPr="00FA5D4B">
        <w:rPr>
          <w:rFonts w:ascii="Times New Roman" w:hAnsi="Times New Roman"/>
          <w:b w:val="0"/>
          <w:sz w:val="24"/>
          <w:szCs w:val="24"/>
        </w:rPr>
        <w:t xml:space="preserve"> by</w:t>
      </w:r>
      <w:r w:rsidR="00A67AE6" w:rsidRPr="00FA5D4B">
        <w:rPr>
          <w:rFonts w:ascii="Times New Roman" w:hAnsi="Times New Roman"/>
          <w:b w:val="0"/>
          <w:sz w:val="24"/>
          <w:szCs w:val="24"/>
        </w:rPr>
        <w:t xml:space="preserve"> B</w:t>
      </w:r>
      <w:r w:rsidRPr="00FA5D4B">
        <w:rPr>
          <w:rFonts w:ascii="Times New Roman" w:hAnsi="Times New Roman"/>
          <w:b w:val="0"/>
          <w:sz w:val="24"/>
          <w:szCs w:val="24"/>
        </w:rPr>
        <w:t>URSA</w:t>
      </w:r>
      <w:r w:rsidR="00A67AE6" w:rsidRPr="00FA5D4B">
        <w:rPr>
          <w:rFonts w:ascii="Times New Roman" w:hAnsi="Times New Roman"/>
          <w:b w:val="0"/>
          <w:sz w:val="24"/>
          <w:szCs w:val="24"/>
        </w:rPr>
        <w:t xml:space="preserve"> and should not be used for any other purpose.</w:t>
      </w:r>
      <w:r w:rsidR="00FE113C" w:rsidRPr="00FA5D4B">
        <w:rPr>
          <w:rFonts w:ascii="Times New Roman" w:hAnsi="Times New Roman"/>
          <w:sz w:val="24"/>
          <w:szCs w:val="24"/>
        </w:rPr>
        <w:tab/>
      </w:r>
    </w:p>
    <w:p w:rsidR="00302C41" w:rsidRPr="00FA5D4B" w:rsidRDefault="00302C41" w:rsidP="00E41BF9">
      <w:pPr>
        <w:pStyle w:val="BodyTextIndent2"/>
        <w:rPr>
          <w:rFonts w:ascii="Times New Roman" w:hAnsi="Times New Roman"/>
          <w:sz w:val="24"/>
          <w:szCs w:val="24"/>
        </w:rPr>
      </w:pPr>
    </w:p>
    <w:p w:rsidR="000442F1" w:rsidRPr="00FA5D4B" w:rsidRDefault="000442F1" w:rsidP="00E41BF9">
      <w:pPr>
        <w:pStyle w:val="BodyTextIndent2"/>
        <w:rPr>
          <w:rFonts w:ascii="Times New Roman" w:hAnsi="Times New Roman"/>
          <w:sz w:val="24"/>
          <w:szCs w:val="24"/>
        </w:rPr>
      </w:pPr>
    </w:p>
    <w:p w:rsidR="000442F1" w:rsidRPr="00FA5D4B" w:rsidRDefault="000442F1" w:rsidP="00E41BF9">
      <w:pPr>
        <w:pStyle w:val="BodyTextIndent2"/>
        <w:rPr>
          <w:rFonts w:ascii="Times New Roman" w:hAnsi="Times New Roman"/>
          <w:sz w:val="24"/>
          <w:szCs w:val="24"/>
        </w:rPr>
      </w:pPr>
    </w:p>
    <w:p w:rsidR="008A45AD" w:rsidRPr="00FA5D4B" w:rsidRDefault="008A45AD" w:rsidP="008A45AD">
      <w:pPr>
        <w:pStyle w:val="BodyTextIndent2"/>
        <w:ind w:left="0" w:firstLine="0"/>
        <w:rPr>
          <w:rFonts w:ascii="Times New Roman" w:hAnsi="Times New Roman"/>
          <w:sz w:val="24"/>
          <w:szCs w:val="24"/>
        </w:rPr>
      </w:pPr>
    </w:p>
    <w:p w:rsidR="008A45AD" w:rsidRDefault="008A45AD" w:rsidP="008A45AD">
      <w:pPr>
        <w:pStyle w:val="BodyTextIndent2"/>
        <w:ind w:left="0" w:firstLine="0"/>
        <w:rPr>
          <w:rFonts w:ascii="Times New Roman" w:hAnsi="Times New Roman"/>
          <w:sz w:val="24"/>
          <w:szCs w:val="24"/>
        </w:rPr>
      </w:pPr>
    </w:p>
    <w:p w:rsidR="00AE79A8" w:rsidRDefault="00AE79A8" w:rsidP="008A45AD">
      <w:pPr>
        <w:pStyle w:val="BodyTextIndent2"/>
        <w:ind w:left="0" w:firstLine="0"/>
        <w:rPr>
          <w:rFonts w:ascii="Times New Roman" w:hAnsi="Times New Roman"/>
          <w:sz w:val="24"/>
          <w:szCs w:val="24"/>
        </w:rPr>
      </w:pPr>
    </w:p>
    <w:p w:rsidR="00AE79A8" w:rsidRDefault="00AE79A8" w:rsidP="008A45AD">
      <w:pPr>
        <w:pStyle w:val="BodyTextIndent2"/>
        <w:ind w:left="0" w:firstLine="0"/>
        <w:rPr>
          <w:rFonts w:ascii="Times New Roman" w:hAnsi="Times New Roman"/>
          <w:sz w:val="24"/>
          <w:szCs w:val="24"/>
        </w:rPr>
      </w:pPr>
    </w:p>
    <w:p w:rsidR="00AE79A8" w:rsidRPr="00FA5D4B" w:rsidRDefault="00AE79A8" w:rsidP="008A45AD">
      <w:pPr>
        <w:pStyle w:val="BodyTextIndent2"/>
        <w:ind w:left="0" w:firstLine="0"/>
        <w:rPr>
          <w:rFonts w:ascii="Times New Roman" w:hAnsi="Times New Roman"/>
          <w:sz w:val="24"/>
          <w:szCs w:val="24"/>
        </w:rPr>
      </w:pPr>
    </w:p>
    <w:p w:rsidR="00357DAD" w:rsidRPr="00AE79A8" w:rsidRDefault="007B364D" w:rsidP="008A45AD">
      <w:pPr>
        <w:pStyle w:val="BodyTextIndent2"/>
        <w:ind w:left="4320" w:firstLine="720"/>
        <w:rPr>
          <w:rFonts w:ascii="Times New Roman" w:hAnsi="Times New Roman"/>
          <w:b w:val="0"/>
          <w:sz w:val="20"/>
        </w:rPr>
      </w:pPr>
      <w:r w:rsidRPr="00AE79A8">
        <w:rPr>
          <w:rFonts w:ascii="Times New Roman" w:hAnsi="Times New Roman"/>
          <w:b w:val="0"/>
          <w:sz w:val="20"/>
        </w:rPr>
        <w:t xml:space="preserve"> </w:t>
      </w:r>
      <w:r w:rsidR="002A234B" w:rsidRPr="00AE79A8">
        <w:rPr>
          <w:rFonts w:ascii="Times New Roman" w:hAnsi="Times New Roman"/>
          <w:b w:val="0"/>
          <w:sz w:val="20"/>
        </w:rPr>
        <w:t>1</w:t>
      </w:r>
      <w:r w:rsidRPr="00AE79A8">
        <w:rPr>
          <w:rFonts w:ascii="Times New Roman" w:hAnsi="Times New Roman"/>
          <w:b w:val="0"/>
          <w:sz w:val="20"/>
        </w:rPr>
        <w:t>3</w:t>
      </w:r>
      <w:r w:rsidR="00357DAD" w:rsidRPr="00AE79A8">
        <w:rPr>
          <w:rFonts w:ascii="Times New Roman" w:hAnsi="Times New Roman"/>
          <w:b w:val="0"/>
          <w:sz w:val="20"/>
        </w:rPr>
        <w:tab/>
      </w:r>
      <w:r w:rsidR="00357DAD" w:rsidRPr="00AE79A8">
        <w:rPr>
          <w:rFonts w:ascii="Times New Roman" w:hAnsi="Times New Roman"/>
          <w:b w:val="0"/>
          <w:sz w:val="20"/>
        </w:rPr>
        <w:tab/>
      </w:r>
      <w:r w:rsidR="00357DAD" w:rsidRPr="00AE79A8">
        <w:rPr>
          <w:rFonts w:ascii="Times New Roman" w:hAnsi="Times New Roman"/>
          <w:b w:val="0"/>
          <w:sz w:val="20"/>
        </w:rPr>
        <w:tab/>
      </w:r>
      <w:r w:rsidR="00357DAD" w:rsidRPr="00AE79A8">
        <w:rPr>
          <w:rFonts w:ascii="Times New Roman" w:hAnsi="Times New Roman"/>
          <w:b w:val="0"/>
          <w:sz w:val="20"/>
        </w:rPr>
        <w:tab/>
      </w:r>
      <w:r w:rsidR="00357DAD" w:rsidRPr="00AE79A8">
        <w:rPr>
          <w:rFonts w:ascii="Times New Roman" w:hAnsi="Times New Roman"/>
          <w:b w:val="0"/>
          <w:sz w:val="20"/>
        </w:rPr>
        <w:tab/>
      </w:r>
    </w:p>
    <w:p w:rsidR="006B363B" w:rsidRPr="00FA5D4B" w:rsidRDefault="0077577D" w:rsidP="00E41BF9">
      <w:pPr>
        <w:pStyle w:val="BodyTextIndent2"/>
        <w:rPr>
          <w:rFonts w:ascii="Times New Roman" w:hAnsi="Times New Roman"/>
          <w:sz w:val="24"/>
          <w:szCs w:val="24"/>
        </w:rPr>
      </w:pPr>
      <w:r w:rsidRPr="0077577D">
        <w:rPr>
          <w:rFonts w:ascii="Times New Roman" w:hAnsi="Times New Roman"/>
          <w:noProof/>
          <w:sz w:val="24"/>
          <w:szCs w:val="24"/>
        </w:rPr>
        <w:lastRenderedPageBreak/>
        <w:pict>
          <v:shape id="_x0000_s1108" type="#_x0000_t202" style="position:absolute;left:0;text-align:left;margin-left:243pt;margin-top:13.45pt;width:25.5pt;height:19.5pt;z-index:251659264" stroked="f">
            <v:textbox style="mso-next-textbox:#_x0000_s1108">
              <w:txbxContent>
                <w:p w:rsidR="006B363B" w:rsidRPr="00B343E8" w:rsidRDefault="006B363B" w:rsidP="00E41BF9"/>
              </w:txbxContent>
            </v:textbox>
          </v:shape>
        </w:pict>
      </w:r>
      <w:r w:rsidR="006B363B" w:rsidRPr="00FA5D4B">
        <w:rPr>
          <w:rFonts w:ascii="Times New Roman" w:hAnsi="Times New Roman"/>
          <w:sz w:val="24"/>
          <w:szCs w:val="24"/>
        </w:rPr>
        <w:t>BORNEO OIL BERHAD</w:t>
      </w:r>
    </w:p>
    <w:p w:rsidR="006B363B" w:rsidRPr="00FA5D4B" w:rsidRDefault="006B363B" w:rsidP="00E41BF9">
      <w:pPr>
        <w:rPr>
          <w:sz w:val="24"/>
          <w:szCs w:val="24"/>
        </w:rPr>
      </w:pPr>
      <w:r w:rsidRPr="00FA5D4B">
        <w:rPr>
          <w:sz w:val="24"/>
          <w:szCs w:val="24"/>
        </w:rPr>
        <w:t>(Company No. 121919-H)</w:t>
      </w:r>
    </w:p>
    <w:p w:rsidR="006B363B" w:rsidRPr="00FA5D4B" w:rsidRDefault="006B363B" w:rsidP="00E41BF9">
      <w:pPr>
        <w:rPr>
          <w:sz w:val="24"/>
          <w:szCs w:val="24"/>
        </w:rPr>
      </w:pPr>
      <w:r w:rsidRPr="00FA5D4B">
        <w:rPr>
          <w:sz w:val="24"/>
          <w:szCs w:val="24"/>
        </w:rPr>
        <w:t>Incorporated in Malaysia</w:t>
      </w:r>
    </w:p>
    <w:p w:rsidR="006B363B" w:rsidRPr="00FA5D4B" w:rsidRDefault="006B363B" w:rsidP="00E41BF9">
      <w:pPr>
        <w:rPr>
          <w:sz w:val="24"/>
          <w:szCs w:val="24"/>
        </w:rPr>
      </w:pPr>
      <w:r w:rsidRPr="00FA5D4B">
        <w:rPr>
          <w:sz w:val="24"/>
          <w:szCs w:val="24"/>
        </w:rPr>
        <w:t>Notes on the quarterly report – 3</w:t>
      </w:r>
      <w:r w:rsidR="00745C22" w:rsidRPr="00FA5D4B">
        <w:rPr>
          <w:sz w:val="24"/>
          <w:szCs w:val="24"/>
        </w:rPr>
        <w:t xml:space="preserve">1 </w:t>
      </w:r>
      <w:r w:rsidR="00DF0478" w:rsidRPr="00FA5D4B">
        <w:rPr>
          <w:sz w:val="24"/>
          <w:szCs w:val="24"/>
        </w:rPr>
        <w:t>October</w:t>
      </w:r>
      <w:r w:rsidRPr="00FA5D4B">
        <w:rPr>
          <w:sz w:val="24"/>
          <w:szCs w:val="24"/>
        </w:rPr>
        <w:t xml:space="preserve"> 201</w:t>
      </w:r>
      <w:r w:rsidR="00A903B4" w:rsidRPr="00FA5D4B">
        <w:rPr>
          <w:sz w:val="24"/>
          <w:szCs w:val="24"/>
        </w:rPr>
        <w:t>7</w:t>
      </w:r>
    </w:p>
    <w:p w:rsidR="0062633E" w:rsidRPr="00FA5D4B" w:rsidRDefault="0062633E" w:rsidP="00A35134">
      <w:pPr>
        <w:pBdr>
          <w:bottom w:val="single" w:sz="4" w:space="1" w:color="auto"/>
        </w:pBdr>
        <w:rPr>
          <w:sz w:val="24"/>
          <w:szCs w:val="24"/>
        </w:rPr>
      </w:pPr>
    </w:p>
    <w:p w:rsidR="00CB32CE" w:rsidRPr="00FA5D4B" w:rsidRDefault="00CB32CE" w:rsidP="00E41BF9">
      <w:pPr>
        <w:rPr>
          <w:sz w:val="24"/>
          <w:szCs w:val="24"/>
        </w:rPr>
      </w:pPr>
    </w:p>
    <w:p w:rsidR="00AB5ECD" w:rsidRPr="00FA5D4B" w:rsidRDefault="00A67AE6" w:rsidP="00E41BF9">
      <w:pPr>
        <w:rPr>
          <w:sz w:val="24"/>
          <w:szCs w:val="24"/>
        </w:rPr>
      </w:pPr>
      <w:r w:rsidRPr="00FA5D4B">
        <w:rPr>
          <w:sz w:val="24"/>
          <w:szCs w:val="24"/>
        </w:rPr>
        <w:t>B12.</w:t>
      </w:r>
      <w:r w:rsidRPr="00FA5D4B">
        <w:rPr>
          <w:sz w:val="24"/>
          <w:szCs w:val="24"/>
        </w:rPr>
        <w:tab/>
        <w:t>Notes to the Condensed Consolidated Statement of Comprehensive Income</w:t>
      </w:r>
    </w:p>
    <w:p w:rsidR="00C62D68" w:rsidRPr="00FA5D4B" w:rsidRDefault="00C62D68" w:rsidP="00E41BF9">
      <w:pPr>
        <w:rPr>
          <w:b w:val="0"/>
          <w:sz w:val="24"/>
          <w:szCs w:val="24"/>
        </w:rPr>
      </w:pPr>
    </w:p>
    <w:p w:rsidR="00A67AE6" w:rsidRPr="00FA5D4B" w:rsidRDefault="00C94941" w:rsidP="00E41BF9">
      <w:pPr>
        <w:rPr>
          <w:b w:val="0"/>
          <w:sz w:val="24"/>
          <w:szCs w:val="24"/>
        </w:rPr>
      </w:pPr>
      <w:r w:rsidRPr="00FA5D4B">
        <w:rPr>
          <w:b w:val="0"/>
          <w:sz w:val="24"/>
          <w:szCs w:val="24"/>
        </w:rPr>
        <w:t>Profit</w:t>
      </w:r>
      <w:proofErr w:type="gramStart"/>
      <w:r w:rsidRPr="00FA5D4B">
        <w:rPr>
          <w:b w:val="0"/>
          <w:sz w:val="24"/>
          <w:szCs w:val="24"/>
        </w:rPr>
        <w:t>/(</w:t>
      </w:r>
      <w:proofErr w:type="gramEnd"/>
      <w:r w:rsidRPr="00FA5D4B">
        <w:rPr>
          <w:b w:val="0"/>
          <w:sz w:val="24"/>
          <w:szCs w:val="24"/>
        </w:rPr>
        <w:t>loss)</w:t>
      </w:r>
      <w:r w:rsidR="00A67AE6" w:rsidRPr="00FA5D4B">
        <w:rPr>
          <w:b w:val="0"/>
          <w:sz w:val="24"/>
          <w:szCs w:val="24"/>
        </w:rPr>
        <w:t xml:space="preserve"> before tax is derived after charging / (crediting) :</w:t>
      </w:r>
    </w:p>
    <w:p w:rsidR="00A67AE6" w:rsidRPr="00FA5D4B" w:rsidRDefault="00A67AE6" w:rsidP="00E41BF9">
      <w:pPr>
        <w:rPr>
          <w:sz w:val="24"/>
          <w:szCs w:val="24"/>
        </w:rPr>
      </w:pPr>
    </w:p>
    <w:p w:rsidR="008A45AD" w:rsidRPr="00FA5D4B" w:rsidRDefault="00AE79A8" w:rsidP="00E41BF9">
      <w:pPr>
        <w:rPr>
          <w:sz w:val="24"/>
          <w:szCs w:val="24"/>
        </w:rPr>
      </w:pPr>
      <w:r w:rsidRPr="00FA5D4B">
        <w:rPr>
          <w:sz w:val="24"/>
          <w:szCs w:val="24"/>
        </w:rPr>
        <w:object w:dxaOrig="8889" w:dyaOrig="9007">
          <v:shape id="_x0000_i1036" type="#_x0000_t75" style="width:485.6pt;height:600.3pt" o:ole="">
            <v:imagedata r:id="rId33" o:title=""/>
          </v:shape>
          <o:OLEObject Type="Embed" ProgID="Excel.Sheet.12" ShapeID="_x0000_i1036" DrawAspect="Content" ObjectID="_1576078826" r:id="rId34"/>
        </w:object>
      </w:r>
    </w:p>
    <w:p w:rsidR="006B363B" w:rsidRPr="00FA5D4B" w:rsidRDefault="0077577D" w:rsidP="00E41BF9">
      <w:pPr>
        <w:rPr>
          <w:sz w:val="24"/>
          <w:szCs w:val="24"/>
        </w:rPr>
      </w:pPr>
      <w:r>
        <w:rPr>
          <w:noProof/>
          <w:sz w:val="24"/>
          <w:szCs w:val="24"/>
        </w:rPr>
        <w:lastRenderedPageBreak/>
        <w:pict>
          <v:shape id="_x0000_s1109" type="#_x0000_t202" style="position:absolute;margin-left:243pt;margin-top:13.45pt;width:25.5pt;height:19.5pt;z-index:251660288" stroked="f">
            <v:textbox style="mso-next-textbox:#_x0000_s1109">
              <w:txbxContent>
                <w:p w:rsidR="006B363B" w:rsidRPr="00B343E8" w:rsidRDefault="006B363B" w:rsidP="00E41BF9"/>
              </w:txbxContent>
            </v:textbox>
          </v:shape>
        </w:pict>
      </w:r>
      <w:r w:rsidR="006B363B" w:rsidRPr="00FA5D4B">
        <w:rPr>
          <w:sz w:val="24"/>
          <w:szCs w:val="24"/>
        </w:rPr>
        <w:t>BORNEO OIL BERHAD</w:t>
      </w:r>
    </w:p>
    <w:p w:rsidR="006B363B" w:rsidRPr="00FA5D4B" w:rsidRDefault="006B363B" w:rsidP="00E41BF9">
      <w:pPr>
        <w:rPr>
          <w:sz w:val="24"/>
          <w:szCs w:val="24"/>
        </w:rPr>
      </w:pPr>
      <w:r w:rsidRPr="00FA5D4B">
        <w:rPr>
          <w:sz w:val="24"/>
          <w:szCs w:val="24"/>
        </w:rPr>
        <w:t>(Company No. 121919-H)</w:t>
      </w:r>
    </w:p>
    <w:p w:rsidR="006B363B" w:rsidRPr="00FA5D4B" w:rsidRDefault="006B363B" w:rsidP="00E41BF9">
      <w:pPr>
        <w:rPr>
          <w:sz w:val="24"/>
          <w:szCs w:val="24"/>
        </w:rPr>
      </w:pPr>
      <w:r w:rsidRPr="00FA5D4B">
        <w:rPr>
          <w:sz w:val="24"/>
          <w:szCs w:val="24"/>
        </w:rPr>
        <w:t>Incorporated in Malaysia</w:t>
      </w:r>
    </w:p>
    <w:p w:rsidR="006B363B" w:rsidRPr="00FA5D4B" w:rsidRDefault="006B363B" w:rsidP="00E41BF9">
      <w:pPr>
        <w:rPr>
          <w:sz w:val="24"/>
          <w:szCs w:val="24"/>
        </w:rPr>
      </w:pPr>
    </w:p>
    <w:p w:rsidR="006B363B" w:rsidRPr="00FA5D4B" w:rsidRDefault="006B363B" w:rsidP="00E41BF9">
      <w:pPr>
        <w:rPr>
          <w:sz w:val="24"/>
          <w:szCs w:val="24"/>
        </w:rPr>
      </w:pPr>
      <w:r w:rsidRPr="00FA5D4B">
        <w:rPr>
          <w:sz w:val="24"/>
          <w:szCs w:val="24"/>
        </w:rPr>
        <w:t>Notes on the quarterly report – 3</w:t>
      </w:r>
      <w:r w:rsidR="00E15F58" w:rsidRPr="00FA5D4B">
        <w:rPr>
          <w:sz w:val="24"/>
          <w:szCs w:val="24"/>
        </w:rPr>
        <w:t xml:space="preserve">1 </w:t>
      </w:r>
      <w:r w:rsidR="00DF0478" w:rsidRPr="00FA5D4B">
        <w:rPr>
          <w:sz w:val="24"/>
          <w:szCs w:val="24"/>
        </w:rPr>
        <w:t>October</w:t>
      </w:r>
      <w:r w:rsidR="00DF5EF7" w:rsidRPr="00FA5D4B">
        <w:rPr>
          <w:sz w:val="24"/>
          <w:szCs w:val="24"/>
        </w:rPr>
        <w:t xml:space="preserve"> 2017</w:t>
      </w:r>
    </w:p>
    <w:p w:rsidR="00BC180A" w:rsidRPr="00FA5D4B" w:rsidRDefault="00BC180A" w:rsidP="00E41BF9">
      <w:pPr>
        <w:rPr>
          <w:sz w:val="24"/>
          <w:szCs w:val="24"/>
        </w:rPr>
      </w:pPr>
    </w:p>
    <w:p w:rsidR="00FD0DB8" w:rsidRPr="00FA5D4B" w:rsidRDefault="002C7B85" w:rsidP="00E41BF9">
      <w:pPr>
        <w:rPr>
          <w:sz w:val="24"/>
          <w:szCs w:val="24"/>
        </w:rPr>
      </w:pPr>
      <w:r w:rsidRPr="00FA5D4B">
        <w:rPr>
          <w:sz w:val="24"/>
          <w:szCs w:val="24"/>
        </w:rPr>
        <w:t xml:space="preserve">B13. </w:t>
      </w:r>
      <w:r w:rsidRPr="00FA5D4B">
        <w:rPr>
          <w:sz w:val="24"/>
          <w:szCs w:val="24"/>
        </w:rPr>
        <w:tab/>
      </w:r>
      <w:r w:rsidR="008D0E18" w:rsidRPr="00FA5D4B">
        <w:rPr>
          <w:sz w:val="24"/>
          <w:szCs w:val="24"/>
        </w:rPr>
        <w:t xml:space="preserve">STATUS OF </w:t>
      </w:r>
      <w:r w:rsidRPr="00FA5D4B">
        <w:rPr>
          <w:sz w:val="24"/>
          <w:szCs w:val="24"/>
        </w:rPr>
        <w:t xml:space="preserve">UTILISATION OF PROCEEDS FROM </w:t>
      </w:r>
      <w:r w:rsidR="00FD0DB8" w:rsidRPr="00FA5D4B">
        <w:rPr>
          <w:sz w:val="24"/>
          <w:szCs w:val="24"/>
        </w:rPr>
        <w:t>CORPORATE EXERCISES</w:t>
      </w:r>
    </w:p>
    <w:p w:rsidR="00FD0DB8" w:rsidRPr="00FA5D4B" w:rsidRDefault="00FD0DB8" w:rsidP="00E41BF9">
      <w:pPr>
        <w:rPr>
          <w:sz w:val="24"/>
          <w:szCs w:val="24"/>
        </w:rPr>
      </w:pPr>
      <w:r w:rsidRPr="00FA5D4B">
        <w:rPr>
          <w:sz w:val="24"/>
          <w:szCs w:val="24"/>
        </w:rPr>
        <w:t xml:space="preserve">Rights </w:t>
      </w:r>
      <w:r w:rsidR="00CA56BE" w:rsidRPr="00FA5D4B">
        <w:rPr>
          <w:sz w:val="24"/>
          <w:szCs w:val="24"/>
        </w:rPr>
        <w:t>I</w:t>
      </w:r>
      <w:r w:rsidRPr="00FA5D4B">
        <w:rPr>
          <w:sz w:val="24"/>
          <w:szCs w:val="24"/>
        </w:rPr>
        <w:t>ssues</w:t>
      </w:r>
      <w:r w:rsidR="001A6867" w:rsidRPr="00FA5D4B">
        <w:rPr>
          <w:sz w:val="24"/>
          <w:szCs w:val="24"/>
        </w:rPr>
        <w:t xml:space="preserve"> Exercise:</w:t>
      </w:r>
    </w:p>
    <w:p w:rsidR="002C7B85" w:rsidRPr="00AE79A8" w:rsidRDefault="004A372E" w:rsidP="00E41BF9">
      <w:pPr>
        <w:rPr>
          <w:sz w:val="22"/>
          <w:szCs w:val="22"/>
        </w:rPr>
      </w:pPr>
      <w:r w:rsidRPr="00AE79A8">
        <w:rPr>
          <w:sz w:val="22"/>
          <w:szCs w:val="22"/>
        </w:rPr>
        <w:tab/>
      </w:r>
      <w:r w:rsidR="002C7B85" w:rsidRPr="00AE79A8">
        <w:rPr>
          <w:sz w:val="22"/>
          <w:szCs w:val="22"/>
        </w:rPr>
        <w:tab/>
      </w:r>
      <w:r w:rsidR="002C7B85" w:rsidRPr="00AE79A8">
        <w:rPr>
          <w:sz w:val="22"/>
          <w:szCs w:val="22"/>
        </w:rPr>
        <w:tab/>
      </w:r>
      <w:r w:rsidR="002C7B85" w:rsidRPr="00AE79A8">
        <w:rPr>
          <w:sz w:val="22"/>
          <w:szCs w:val="22"/>
        </w:rPr>
        <w:tab/>
      </w:r>
      <w:r w:rsidR="002C7B85" w:rsidRPr="00AE79A8">
        <w:rPr>
          <w:sz w:val="22"/>
          <w:szCs w:val="22"/>
        </w:rPr>
        <w:tab/>
      </w:r>
      <w:r w:rsidR="001A6867" w:rsidRPr="00AE79A8">
        <w:rPr>
          <w:sz w:val="22"/>
          <w:szCs w:val="22"/>
        </w:rPr>
        <w:tab/>
      </w:r>
      <w:r w:rsidR="002C7B85" w:rsidRPr="00AE79A8">
        <w:rPr>
          <w:sz w:val="22"/>
          <w:szCs w:val="22"/>
        </w:rPr>
        <w:t xml:space="preserve">Proposed </w:t>
      </w:r>
      <w:r w:rsidR="002C7B85" w:rsidRPr="00AE79A8">
        <w:rPr>
          <w:sz w:val="22"/>
          <w:szCs w:val="22"/>
        </w:rPr>
        <w:tab/>
        <w:t>Time frame</w:t>
      </w:r>
      <w:r w:rsidR="002C7B85" w:rsidRPr="00AE79A8">
        <w:rPr>
          <w:sz w:val="22"/>
          <w:szCs w:val="22"/>
        </w:rPr>
        <w:tab/>
      </w:r>
      <w:r w:rsidR="004136DF" w:rsidRPr="00AE79A8">
        <w:rPr>
          <w:sz w:val="22"/>
          <w:szCs w:val="22"/>
        </w:rPr>
        <w:tab/>
      </w:r>
      <w:r w:rsidR="002C7B85" w:rsidRPr="00AE79A8">
        <w:rPr>
          <w:sz w:val="22"/>
          <w:szCs w:val="22"/>
        </w:rPr>
        <w:t xml:space="preserve">Actual </w:t>
      </w:r>
      <w:r w:rsidR="005A1501" w:rsidRPr="00AE79A8">
        <w:rPr>
          <w:sz w:val="22"/>
          <w:szCs w:val="22"/>
        </w:rPr>
        <w:tab/>
        <w:t xml:space="preserve">       </w:t>
      </w:r>
      <w:r w:rsidR="004136DF" w:rsidRPr="00AE79A8">
        <w:rPr>
          <w:sz w:val="22"/>
          <w:szCs w:val="22"/>
        </w:rPr>
        <w:tab/>
      </w:r>
      <w:r w:rsidR="005A1501" w:rsidRPr="00AE79A8">
        <w:rPr>
          <w:sz w:val="22"/>
          <w:szCs w:val="22"/>
        </w:rPr>
        <w:t xml:space="preserve">Balance    </w:t>
      </w:r>
      <w:r w:rsidR="005A1501" w:rsidRPr="00AE79A8">
        <w:rPr>
          <w:sz w:val="22"/>
          <w:szCs w:val="22"/>
        </w:rPr>
        <w:tab/>
      </w:r>
      <w:r w:rsidR="001A6867" w:rsidRPr="00AE79A8">
        <w:rPr>
          <w:sz w:val="22"/>
          <w:szCs w:val="22"/>
        </w:rPr>
        <w:tab/>
      </w:r>
      <w:r w:rsidR="001A6867" w:rsidRPr="00AE79A8">
        <w:rPr>
          <w:sz w:val="22"/>
          <w:szCs w:val="22"/>
        </w:rPr>
        <w:tab/>
      </w:r>
      <w:r w:rsidR="001A6867" w:rsidRPr="00AE79A8">
        <w:rPr>
          <w:sz w:val="22"/>
          <w:szCs w:val="22"/>
        </w:rPr>
        <w:tab/>
      </w:r>
      <w:r w:rsidR="001A6867" w:rsidRPr="00AE79A8">
        <w:rPr>
          <w:sz w:val="22"/>
          <w:szCs w:val="22"/>
        </w:rPr>
        <w:tab/>
      </w:r>
      <w:r w:rsidR="001A6867" w:rsidRPr="00AE79A8">
        <w:rPr>
          <w:sz w:val="22"/>
          <w:szCs w:val="22"/>
        </w:rPr>
        <w:tab/>
      </w:r>
      <w:proofErr w:type="spellStart"/>
      <w:r w:rsidR="002C7B85" w:rsidRPr="00AE79A8">
        <w:rPr>
          <w:sz w:val="22"/>
          <w:szCs w:val="22"/>
        </w:rPr>
        <w:t>Utilisation</w:t>
      </w:r>
      <w:proofErr w:type="spellEnd"/>
      <w:r w:rsidR="002C7B85" w:rsidRPr="00AE79A8">
        <w:rPr>
          <w:sz w:val="22"/>
          <w:szCs w:val="22"/>
        </w:rPr>
        <w:tab/>
        <w:t xml:space="preserve">for </w:t>
      </w:r>
      <w:proofErr w:type="spellStart"/>
      <w:r w:rsidR="002C7B85" w:rsidRPr="00AE79A8">
        <w:rPr>
          <w:sz w:val="22"/>
          <w:szCs w:val="22"/>
        </w:rPr>
        <w:t>utilisation</w:t>
      </w:r>
      <w:proofErr w:type="spellEnd"/>
      <w:r w:rsidR="002C7B85" w:rsidRPr="00AE79A8">
        <w:rPr>
          <w:sz w:val="22"/>
          <w:szCs w:val="22"/>
        </w:rPr>
        <w:tab/>
      </w:r>
      <w:r w:rsidR="004136DF" w:rsidRPr="00AE79A8">
        <w:rPr>
          <w:sz w:val="22"/>
          <w:szCs w:val="22"/>
        </w:rPr>
        <w:tab/>
      </w:r>
      <w:r w:rsidR="00696473" w:rsidRPr="00AE79A8">
        <w:rPr>
          <w:sz w:val="22"/>
          <w:szCs w:val="22"/>
        </w:rPr>
        <w:t>utilization</w:t>
      </w:r>
      <w:r w:rsidR="00494057" w:rsidRPr="00AE79A8">
        <w:rPr>
          <w:sz w:val="22"/>
          <w:szCs w:val="22"/>
        </w:rPr>
        <w:t xml:space="preserve">    </w:t>
      </w:r>
      <w:r w:rsidR="004136DF" w:rsidRPr="00AE79A8">
        <w:rPr>
          <w:sz w:val="22"/>
          <w:szCs w:val="22"/>
        </w:rPr>
        <w:tab/>
      </w:r>
      <w:proofErr w:type="spellStart"/>
      <w:r w:rsidR="00696473" w:rsidRPr="00AE79A8">
        <w:rPr>
          <w:sz w:val="22"/>
          <w:szCs w:val="22"/>
        </w:rPr>
        <w:t>unutilised</w:t>
      </w:r>
      <w:proofErr w:type="spellEnd"/>
    </w:p>
    <w:p w:rsidR="00733E97" w:rsidRPr="00AE79A8" w:rsidRDefault="004136DF" w:rsidP="00E41BF9">
      <w:pPr>
        <w:rPr>
          <w:sz w:val="22"/>
          <w:szCs w:val="22"/>
        </w:rPr>
      </w:pPr>
      <w:r w:rsidRPr="00AE79A8">
        <w:rPr>
          <w:sz w:val="22"/>
          <w:szCs w:val="22"/>
        </w:rPr>
        <w:tab/>
      </w:r>
      <w:r w:rsidRPr="00AE79A8">
        <w:rPr>
          <w:sz w:val="22"/>
          <w:szCs w:val="22"/>
        </w:rPr>
        <w:tab/>
      </w:r>
      <w:r w:rsidRPr="00AE79A8">
        <w:rPr>
          <w:sz w:val="22"/>
          <w:szCs w:val="22"/>
        </w:rPr>
        <w:tab/>
      </w:r>
      <w:r w:rsidRPr="00AE79A8">
        <w:rPr>
          <w:sz w:val="22"/>
          <w:szCs w:val="22"/>
        </w:rPr>
        <w:tab/>
      </w:r>
      <w:r w:rsidR="001A6867" w:rsidRPr="00AE79A8">
        <w:rPr>
          <w:sz w:val="22"/>
          <w:szCs w:val="22"/>
        </w:rPr>
        <w:tab/>
      </w:r>
      <w:r w:rsidR="007F0632" w:rsidRPr="00AE79A8">
        <w:rPr>
          <w:sz w:val="22"/>
          <w:szCs w:val="22"/>
        </w:rPr>
        <w:tab/>
      </w:r>
      <w:r w:rsidRPr="00AE79A8">
        <w:rPr>
          <w:sz w:val="22"/>
          <w:szCs w:val="22"/>
        </w:rPr>
        <w:t>RM’000</w:t>
      </w:r>
      <w:r w:rsidRPr="00AE79A8">
        <w:rPr>
          <w:sz w:val="22"/>
          <w:szCs w:val="22"/>
        </w:rPr>
        <w:tab/>
      </w:r>
      <w:r w:rsidR="00696473" w:rsidRPr="00AE79A8">
        <w:rPr>
          <w:sz w:val="22"/>
          <w:szCs w:val="22"/>
        </w:rPr>
        <w:t>(Months)</w:t>
      </w:r>
      <w:r w:rsidR="00696473" w:rsidRPr="00AE79A8">
        <w:rPr>
          <w:sz w:val="22"/>
          <w:szCs w:val="22"/>
        </w:rPr>
        <w:tab/>
      </w:r>
      <w:r w:rsidRPr="00AE79A8">
        <w:rPr>
          <w:sz w:val="22"/>
          <w:szCs w:val="22"/>
        </w:rPr>
        <w:tab/>
      </w:r>
      <w:r w:rsidR="00696473" w:rsidRPr="00AE79A8">
        <w:rPr>
          <w:sz w:val="22"/>
          <w:szCs w:val="22"/>
        </w:rPr>
        <w:t xml:space="preserve">RM’000        </w:t>
      </w:r>
      <w:r w:rsidRPr="00AE79A8">
        <w:rPr>
          <w:sz w:val="22"/>
          <w:szCs w:val="22"/>
        </w:rPr>
        <w:tab/>
      </w:r>
      <w:r w:rsidR="001A6867" w:rsidRPr="00AE79A8">
        <w:rPr>
          <w:sz w:val="22"/>
          <w:szCs w:val="22"/>
        </w:rPr>
        <w:t>RM’000</w:t>
      </w:r>
      <w:r w:rsidR="00696473" w:rsidRPr="00AE79A8">
        <w:rPr>
          <w:sz w:val="22"/>
          <w:szCs w:val="22"/>
        </w:rPr>
        <w:tab/>
        <w:t xml:space="preserve"> </w:t>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p>
    <w:p w:rsidR="00FD0DB8" w:rsidRPr="00AE79A8" w:rsidRDefault="00FD0DB8" w:rsidP="00E41BF9">
      <w:pPr>
        <w:rPr>
          <w:b w:val="0"/>
          <w:sz w:val="22"/>
          <w:szCs w:val="22"/>
        </w:rPr>
      </w:pPr>
      <w:r w:rsidRPr="00AE79A8">
        <w:rPr>
          <w:b w:val="0"/>
          <w:sz w:val="22"/>
          <w:szCs w:val="22"/>
        </w:rPr>
        <w:t>Exploration expenditure for</w:t>
      </w:r>
    </w:p>
    <w:p w:rsidR="006C4FB7" w:rsidRPr="00AE79A8" w:rsidRDefault="00FD0DB8" w:rsidP="00E41BF9">
      <w:pPr>
        <w:rPr>
          <w:b w:val="0"/>
          <w:sz w:val="22"/>
          <w:szCs w:val="22"/>
        </w:rPr>
      </w:pPr>
      <w:proofErr w:type="gramStart"/>
      <w:r w:rsidRPr="00AE79A8">
        <w:rPr>
          <w:b w:val="0"/>
          <w:sz w:val="22"/>
          <w:szCs w:val="22"/>
        </w:rPr>
        <w:t>gold</w:t>
      </w:r>
      <w:proofErr w:type="gramEnd"/>
      <w:r w:rsidRPr="00AE79A8">
        <w:rPr>
          <w:b w:val="0"/>
          <w:sz w:val="22"/>
          <w:szCs w:val="22"/>
        </w:rPr>
        <w:t xml:space="preserve"> mining operation</w:t>
      </w:r>
      <w:r w:rsidR="006C4FB7" w:rsidRPr="00AE79A8">
        <w:rPr>
          <w:b w:val="0"/>
          <w:sz w:val="22"/>
          <w:szCs w:val="22"/>
        </w:rPr>
        <w:t xml:space="preserve">     </w:t>
      </w:r>
      <w:r w:rsidR="006C4FB7" w:rsidRPr="00AE79A8">
        <w:rPr>
          <w:b w:val="0"/>
          <w:sz w:val="22"/>
          <w:szCs w:val="22"/>
        </w:rPr>
        <w:tab/>
      </w:r>
      <w:r w:rsidR="001A6867" w:rsidRPr="00AE79A8">
        <w:rPr>
          <w:b w:val="0"/>
          <w:sz w:val="22"/>
          <w:szCs w:val="22"/>
        </w:rPr>
        <w:tab/>
      </w:r>
      <w:r w:rsidR="007F0632" w:rsidRPr="00AE79A8">
        <w:rPr>
          <w:b w:val="0"/>
          <w:sz w:val="22"/>
          <w:szCs w:val="22"/>
        </w:rPr>
        <w:tab/>
      </w:r>
      <w:r w:rsidRPr="00AE79A8">
        <w:rPr>
          <w:b w:val="0"/>
          <w:sz w:val="22"/>
          <w:szCs w:val="22"/>
        </w:rPr>
        <w:t>15,000</w:t>
      </w:r>
      <w:r w:rsidR="006C4FB7" w:rsidRPr="00AE79A8">
        <w:rPr>
          <w:b w:val="0"/>
          <w:sz w:val="22"/>
          <w:szCs w:val="22"/>
        </w:rPr>
        <w:tab/>
      </w:r>
      <w:r w:rsidR="006C4FB7" w:rsidRPr="00AE79A8">
        <w:rPr>
          <w:b w:val="0"/>
          <w:sz w:val="22"/>
          <w:szCs w:val="22"/>
        </w:rPr>
        <w:tab/>
        <w:t xml:space="preserve">Within </w:t>
      </w:r>
      <w:r w:rsidRPr="00AE79A8">
        <w:rPr>
          <w:b w:val="0"/>
          <w:sz w:val="22"/>
          <w:szCs w:val="22"/>
        </w:rPr>
        <w:t>24</w:t>
      </w:r>
      <w:r w:rsidR="006C4FB7" w:rsidRPr="00AE79A8">
        <w:rPr>
          <w:b w:val="0"/>
          <w:sz w:val="22"/>
          <w:szCs w:val="22"/>
        </w:rPr>
        <w:t xml:space="preserve"> </w:t>
      </w:r>
      <w:proofErr w:type="spellStart"/>
      <w:r w:rsidR="006C4FB7" w:rsidRPr="00AE79A8">
        <w:rPr>
          <w:b w:val="0"/>
          <w:sz w:val="22"/>
          <w:szCs w:val="22"/>
        </w:rPr>
        <w:t>mths</w:t>
      </w:r>
      <w:proofErr w:type="spellEnd"/>
      <w:r w:rsidR="006C4FB7" w:rsidRPr="00AE79A8">
        <w:rPr>
          <w:b w:val="0"/>
          <w:sz w:val="22"/>
          <w:szCs w:val="22"/>
        </w:rPr>
        <w:tab/>
        <w:t xml:space="preserve">   </w:t>
      </w:r>
      <w:r w:rsidR="004136DF" w:rsidRPr="00AE79A8">
        <w:rPr>
          <w:b w:val="0"/>
          <w:sz w:val="22"/>
          <w:szCs w:val="22"/>
        </w:rPr>
        <w:tab/>
      </w:r>
      <w:r w:rsidR="00E156CB" w:rsidRPr="00AE79A8">
        <w:rPr>
          <w:b w:val="0"/>
          <w:sz w:val="22"/>
          <w:szCs w:val="22"/>
        </w:rPr>
        <w:t>1</w:t>
      </w:r>
      <w:r w:rsidR="001D673B" w:rsidRPr="00AE79A8">
        <w:rPr>
          <w:b w:val="0"/>
          <w:sz w:val="22"/>
          <w:szCs w:val="22"/>
        </w:rPr>
        <w:t>2</w:t>
      </w:r>
      <w:r w:rsidR="00E156CB" w:rsidRPr="00AE79A8">
        <w:rPr>
          <w:b w:val="0"/>
          <w:sz w:val="22"/>
          <w:szCs w:val="22"/>
        </w:rPr>
        <w:t>,</w:t>
      </w:r>
      <w:r w:rsidR="00FC4C46" w:rsidRPr="00AE79A8">
        <w:rPr>
          <w:b w:val="0"/>
          <w:sz w:val="22"/>
          <w:szCs w:val="22"/>
        </w:rPr>
        <w:t>518</w:t>
      </w:r>
      <w:r w:rsidR="00F57C3F" w:rsidRPr="00AE79A8">
        <w:rPr>
          <w:b w:val="0"/>
          <w:sz w:val="22"/>
          <w:szCs w:val="22"/>
        </w:rPr>
        <w:tab/>
      </w:r>
      <w:r w:rsidR="006C4FB7" w:rsidRPr="00AE79A8">
        <w:rPr>
          <w:b w:val="0"/>
          <w:sz w:val="22"/>
          <w:szCs w:val="22"/>
        </w:rPr>
        <w:tab/>
      </w:r>
      <w:r w:rsidR="00472E28" w:rsidRPr="00AE79A8">
        <w:rPr>
          <w:b w:val="0"/>
          <w:sz w:val="22"/>
          <w:szCs w:val="22"/>
        </w:rPr>
        <w:t xml:space="preserve">  </w:t>
      </w:r>
      <w:r w:rsidR="001D673B" w:rsidRPr="00AE79A8">
        <w:rPr>
          <w:b w:val="0"/>
          <w:sz w:val="22"/>
          <w:szCs w:val="22"/>
        </w:rPr>
        <w:t>2</w:t>
      </w:r>
      <w:r w:rsidR="008400DC" w:rsidRPr="00AE79A8">
        <w:rPr>
          <w:b w:val="0"/>
          <w:sz w:val="22"/>
          <w:szCs w:val="22"/>
        </w:rPr>
        <w:t>,</w:t>
      </w:r>
      <w:r w:rsidR="001D673B" w:rsidRPr="00AE79A8">
        <w:rPr>
          <w:b w:val="0"/>
          <w:sz w:val="22"/>
          <w:szCs w:val="22"/>
        </w:rPr>
        <w:t>482</w:t>
      </w:r>
    </w:p>
    <w:p w:rsidR="006C4FB7" w:rsidRPr="00AE79A8" w:rsidRDefault="006C4FB7" w:rsidP="00E41BF9">
      <w:pPr>
        <w:rPr>
          <w:b w:val="0"/>
          <w:sz w:val="22"/>
          <w:szCs w:val="22"/>
        </w:rPr>
      </w:pPr>
    </w:p>
    <w:p w:rsidR="00FD0DB8" w:rsidRPr="00AE79A8" w:rsidRDefault="00696473" w:rsidP="00E41BF9">
      <w:pPr>
        <w:rPr>
          <w:b w:val="0"/>
          <w:sz w:val="22"/>
          <w:szCs w:val="22"/>
        </w:rPr>
      </w:pPr>
      <w:r w:rsidRPr="00AE79A8">
        <w:rPr>
          <w:b w:val="0"/>
          <w:sz w:val="22"/>
          <w:szCs w:val="22"/>
        </w:rPr>
        <w:t xml:space="preserve">Purchase of </w:t>
      </w:r>
      <w:r w:rsidR="00FD0DB8" w:rsidRPr="00AE79A8">
        <w:rPr>
          <w:b w:val="0"/>
          <w:sz w:val="22"/>
          <w:szCs w:val="22"/>
        </w:rPr>
        <w:t xml:space="preserve">machineries &amp; </w:t>
      </w:r>
    </w:p>
    <w:p w:rsidR="00FD0DB8" w:rsidRPr="00AE79A8" w:rsidRDefault="00FD0DB8" w:rsidP="00E41BF9">
      <w:pPr>
        <w:rPr>
          <w:b w:val="0"/>
          <w:sz w:val="22"/>
          <w:szCs w:val="22"/>
        </w:rPr>
      </w:pPr>
      <w:r w:rsidRPr="00AE79A8">
        <w:rPr>
          <w:b w:val="0"/>
          <w:sz w:val="22"/>
          <w:szCs w:val="22"/>
        </w:rPr>
        <w:t>E</w:t>
      </w:r>
      <w:r w:rsidR="00F7367D" w:rsidRPr="00AE79A8">
        <w:rPr>
          <w:b w:val="0"/>
          <w:sz w:val="22"/>
          <w:szCs w:val="22"/>
        </w:rPr>
        <w:t>quipment</w:t>
      </w:r>
      <w:r w:rsidRPr="00AE79A8">
        <w:rPr>
          <w:b w:val="0"/>
          <w:sz w:val="22"/>
          <w:szCs w:val="22"/>
        </w:rPr>
        <w:t xml:space="preserve"> for gold mining</w:t>
      </w:r>
    </w:p>
    <w:p w:rsidR="00696473" w:rsidRPr="00AE79A8" w:rsidRDefault="00FD0DB8" w:rsidP="00E41BF9">
      <w:pPr>
        <w:rPr>
          <w:b w:val="0"/>
          <w:sz w:val="22"/>
          <w:szCs w:val="22"/>
        </w:rPr>
      </w:pPr>
      <w:proofErr w:type="gramStart"/>
      <w:r w:rsidRPr="00AE79A8">
        <w:rPr>
          <w:b w:val="0"/>
          <w:sz w:val="22"/>
          <w:szCs w:val="22"/>
        </w:rPr>
        <w:t>operation</w:t>
      </w:r>
      <w:proofErr w:type="gramEnd"/>
      <w:r w:rsidRPr="00AE79A8">
        <w:rPr>
          <w:b w:val="0"/>
          <w:sz w:val="22"/>
          <w:szCs w:val="22"/>
        </w:rPr>
        <w:t xml:space="preserve">   </w:t>
      </w:r>
      <w:r w:rsidRPr="00AE79A8">
        <w:rPr>
          <w:b w:val="0"/>
          <w:sz w:val="22"/>
          <w:szCs w:val="22"/>
        </w:rPr>
        <w:tab/>
        <w:t xml:space="preserve"> </w:t>
      </w:r>
      <w:r w:rsidR="00F7367D" w:rsidRPr="00AE79A8">
        <w:rPr>
          <w:b w:val="0"/>
          <w:sz w:val="22"/>
          <w:szCs w:val="22"/>
        </w:rPr>
        <w:tab/>
      </w:r>
      <w:r w:rsidR="006C4FB7" w:rsidRPr="00AE79A8">
        <w:rPr>
          <w:b w:val="0"/>
          <w:sz w:val="22"/>
          <w:szCs w:val="22"/>
        </w:rPr>
        <w:tab/>
      </w:r>
      <w:r w:rsidR="001A6867" w:rsidRPr="00AE79A8">
        <w:rPr>
          <w:b w:val="0"/>
          <w:sz w:val="22"/>
          <w:szCs w:val="22"/>
        </w:rPr>
        <w:tab/>
      </w:r>
      <w:r w:rsidR="007F0632" w:rsidRPr="00AE79A8">
        <w:rPr>
          <w:b w:val="0"/>
          <w:sz w:val="22"/>
          <w:szCs w:val="22"/>
        </w:rPr>
        <w:tab/>
      </w:r>
      <w:r w:rsidRPr="00AE79A8">
        <w:rPr>
          <w:b w:val="0"/>
          <w:sz w:val="22"/>
          <w:szCs w:val="22"/>
        </w:rPr>
        <w:t>30</w:t>
      </w:r>
      <w:r w:rsidR="006C4FB7" w:rsidRPr="00AE79A8">
        <w:rPr>
          <w:b w:val="0"/>
          <w:sz w:val="22"/>
          <w:szCs w:val="22"/>
        </w:rPr>
        <w:t>,000</w:t>
      </w:r>
      <w:r w:rsidR="006C4FB7" w:rsidRPr="00AE79A8">
        <w:rPr>
          <w:b w:val="0"/>
          <w:sz w:val="22"/>
          <w:szCs w:val="22"/>
        </w:rPr>
        <w:tab/>
      </w:r>
      <w:r w:rsidR="006C4FB7" w:rsidRPr="00AE79A8">
        <w:rPr>
          <w:b w:val="0"/>
          <w:sz w:val="22"/>
          <w:szCs w:val="22"/>
        </w:rPr>
        <w:tab/>
        <w:t xml:space="preserve">Within </w:t>
      </w:r>
      <w:r w:rsidRPr="00AE79A8">
        <w:rPr>
          <w:b w:val="0"/>
          <w:sz w:val="22"/>
          <w:szCs w:val="22"/>
        </w:rPr>
        <w:t>24</w:t>
      </w:r>
      <w:r w:rsidR="006C4FB7" w:rsidRPr="00AE79A8">
        <w:rPr>
          <w:b w:val="0"/>
          <w:sz w:val="22"/>
          <w:szCs w:val="22"/>
        </w:rPr>
        <w:t xml:space="preserve"> </w:t>
      </w:r>
      <w:proofErr w:type="spellStart"/>
      <w:r w:rsidR="006C4FB7" w:rsidRPr="00AE79A8">
        <w:rPr>
          <w:b w:val="0"/>
          <w:sz w:val="22"/>
          <w:szCs w:val="22"/>
        </w:rPr>
        <w:t>mths</w:t>
      </w:r>
      <w:proofErr w:type="spellEnd"/>
      <w:r w:rsidR="006C4FB7" w:rsidRPr="00AE79A8">
        <w:rPr>
          <w:b w:val="0"/>
          <w:sz w:val="22"/>
          <w:szCs w:val="22"/>
        </w:rPr>
        <w:tab/>
        <w:t xml:space="preserve">  </w:t>
      </w:r>
      <w:r w:rsidR="004136DF" w:rsidRPr="00AE79A8">
        <w:rPr>
          <w:b w:val="0"/>
          <w:sz w:val="22"/>
          <w:szCs w:val="22"/>
        </w:rPr>
        <w:tab/>
      </w:r>
      <w:r w:rsidR="00945D33" w:rsidRPr="00AE79A8">
        <w:rPr>
          <w:b w:val="0"/>
          <w:sz w:val="22"/>
          <w:szCs w:val="22"/>
        </w:rPr>
        <w:t xml:space="preserve"> 2</w:t>
      </w:r>
      <w:r w:rsidR="001D673B" w:rsidRPr="00AE79A8">
        <w:rPr>
          <w:b w:val="0"/>
          <w:sz w:val="22"/>
          <w:szCs w:val="22"/>
        </w:rPr>
        <w:t>8</w:t>
      </w:r>
      <w:r w:rsidR="00900B54" w:rsidRPr="00AE79A8">
        <w:rPr>
          <w:b w:val="0"/>
          <w:sz w:val="22"/>
          <w:szCs w:val="22"/>
        </w:rPr>
        <w:t>,</w:t>
      </w:r>
      <w:r w:rsidR="001D673B" w:rsidRPr="00AE79A8">
        <w:rPr>
          <w:b w:val="0"/>
          <w:sz w:val="22"/>
          <w:szCs w:val="22"/>
        </w:rPr>
        <w:t>254</w:t>
      </w:r>
      <w:r w:rsidR="006A0F96" w:rsidRPr="00AE79A8">
        <w:rPr>
          <w:b w:val="0"/>
          <w:sz w:val="22"/>
          <w:szCs w:val="22"/>
        </w:rPr>
        <w:t xml:space="preserve"> </w:t>
      </w:r>
      <w:r w:rsidR="00FA40A2" w:rsidRPr="00AE79A8">
        <w:rPr>
          <w:b w:val="0"/>
          <w:sz w:val="22"/>
          <w:szCs w:val="22"/>
        </w:rPr>
        <w:tab/>
      </w:r>
      <w:r w:rsidR="00945D33" w:rsidRPr="00AE79A8">
        <w:rPr>
          <w:b w:val="0"/>
          <w:sz w:val="22"/>
          <w:szCs w:val="22"/>
        </w:rPr>
        <w:t xml:space="preserve">  </w:t>
      </w:r>
      <w:r w:rsidR="00945D33" w:rsidRPr="00AE79A8">
        <w:rPr>
          <w:b w:val="0"/>
          <w:sz w:val="22"/>
          <w:szCs w:val="22"/>
        </w:rPr>
        <w:tab/>
        <w:t xml:space="preserve">  </w:t>
      </w:r>
      <w:r w:rsidR="001D673B" w:rsidRPr="00AE79A8">
        <w:rPr>
          <w:b w:val="0"/>
          <w:sz w:val="22"/>
          <w:szCs w:val="22"/>
        </w:rPr>
        <w:t>1</w:t>
      </w:r>
      <w:r w:rsidR="00945D33" w:rsidRPr="00AE79A8">
        <w:rPr>
          <w:b w:val="0"/>
          <w:sz w:val="22"/>
          <w:szCs w:val="22"/>
        </w:rPr>
        <w:t>,</w:t>
      </w:r>
      <w:r w:rsidR="001D673B" w:rsidRPr="00AE79A8">
        <w:rPr>
          <w:b w:val="0"/>
          <w:sz w:val="22"/>
          <w:szCs w:val="22"/>
        </w:rPr>
        <w:t>746</w:t>
      </w:r>
      <w:r w:rsidR="006C4FB7" w:rsidRPr="00AE79A8">
        <w:rPr>
          <w:b w:val="0"/>
          <w:sz w:val="22"/>
          <w:szCs w:val="22"/>
        </w:rPr>
        <w:t xml:space="preserve"> </w:t>
      </w:r>
      <w:r w:rsidR="00696473" w:rsidRPr="00AE79A8">
        <w:rPr>
          <w:b w:val="0"/>
          <w:sz w:val="22"/>
          <w:szCs w:val="22"/>
        </w:rPr>
        <w:tab/>
      </w:r>
      <w:r w:rsidR="006C4FB7" w:rsidRPr="00AE79A8">
        <w:rPr>
          <w:b w:val="0"/>
          <w:sz w:val="22"/>
          <w:szCs w:val="22"/>
        </w:rPr>
        <w:tab/>
      </w:r>
      <w:r w:rsidR="00FA40A2" w:rsidRPr="00AE79A8">
        <w:rPr>
          <w:b w:val="0"/>
          <w:sz w:val="22"/>
          <w:szCs w:val="22"/>
        </w:rPr>
        <w:tab/>
        <w:t xml:space="preserve">    </w:t>
      </w:r>
      <w:r w:rsidR="006C4FB7" w:rsidRPr="00AE79A8">
        <w:rPr>
          <w:b w:val="0"/>
          <w:sz w:val="22"/>
          <w:szCs w:val="22"/>
        </w:rPr>
        <w:t xml:space="preserve"> </w:t>
      </w:r>
    </w:p>
    <w:p w:rsidR="004136DF" w:rsidRPr="00AE79A8" w:rsidRDefault="00FD0DB8" w:rsidP="00E41BF9">
      <w:pPr>
        <w:rPr>
          <w:b w:val="0"/>
          <w:sz w:val="22"/>
          <w:szCs w:val="22"/>
        </w:rPr>
      </w:pPr>
      <w:r w:rsidRPr="00AE79A8">
        <w:rPr>
          <w:b w:val="0"/>
          <w:sz w:val="22"/>
          <w:szCs w:val="22"/>
        </w:rPr>
        <w:t>Working capital for gold</w:t>
      </w:r>
    </w:p>
    <w:p w:rsidR="006C4FB7" w:rsidRPr="00AE79A8" w:rsidRDefault="004136DF" w:rsidP="00E41BF9">
      <w:pPr>
        <w:rPr>
          <w:b w:val="0"/>
          <w:sz w:val="22"/>
          <w:szCs w:val="22"/>
        </w:rPr>
      </w:pPr>
      <w:r w:rsidRPr="00AE79A8">
        <w:rPr>
          <w:b w:val="0"/>
          <w:sz w:val="22"/>
          <w:szCs w:val="22"/>
        </w:rPr>
        <w:t>M</w:t>
      </w:r>
      <w:r w:rsidR="00FD0DB8" w:rsidRPr="00AE79A8">
        <w:rPr>
          <w:b w:val="0"/>
          <w:sz w:val="22"/>
          <w:szCs w:val="22"/>
        </w:rPr>
        <w:t>ining</w:t>
      </w:r>
      <w:r w:rsidRPr="00AE79A8">
        <w:rPr>
          <w:b w:val="0"/>
          <w:sz w:val="22"/>
          <w:szCs w:val="22"/>
        </w:rPr>
        <w:t xml:space="preserve"> o</w:t>
      </w:r>
      <w:r w:rsidR="00FD0DB8" w:rsidRPr="00AE79A8">
        <w:rPr>
          <w:b w:val="0"/>
          <w:sz w:val="22"/>
          <w:szCs w:val="22"/>
        </w:rPr>
        <w:t>peration</w:t>
      </w:r>
      <w:r w:rsidR="00FD0DB8" w:rsidRPr="00AE79A8">
        <w:rPr>
          <w:b w:val="0"/>
          <w:sz w:val="22"/>
          <w:szCs w:val="22"/>
        </w:rPr>
        <w:tab/>
      </w:r>
      <w:r w:rsidR="00FD0DB8" w:rsidRPr="00AE79A8">
        <w:rPr>
          <w:b w:val="0"/>
          <w:sz w:val="22"/>
          <w:szCs w:val="22"/>
        </w:rPr>
        <w:tab/>
      </w:r>
      <w:r w:rsidR="001A6867" w:rsidRPr="00AE79A8">
        <w:rPr>
          <w:b w:val="0"/>
          <w:sz w:val="22"/>
          <w:szCs w:val="22"/>
        </w:rPr>
        <w:tab/>
      </w:r>
      <w:r w:rsidR="007F0632" w:rsidRPr="00AE79A8">
        <w:rPr>
          <w:b w:val="0"/>
          <w:sz w:val="22"/>
          <w:szCs w:val="22"/>
        </w:rPr>
        <w:tab/>
      </w:r>
      <w:r w:rsidR="001562B3" w:rsidRPr="00AE79A8">
        <w:rPr>
          <w:b w:val="0"/>
          <w:sz w:val="22"/>
          <w:szCs w:val="22"/>
        </w:rPr>
        <w:t>75</w:t>
      </w:r>
      <w:r w:rsidR="00FD0DB8" w:rsidRPr="00AE79A8">
        <w:rPr>
          <w:b w:val="0"/>
          <w:sz w:val="22"/>
          <w:szCs w:val="22"/>
        </w:rPr>
        <w:t>,</w:t>
      </w:r>
      <w:r w:rsidR="001562B3" w:rsidRPr="00AE79A8">
        <w:rPr>
          <w:b w:val="0"/>
          <w:sz w:val="22"/>
          <w:szCs w:val="22"/>
        </w:rPr>
        <w:t>621</w:t>
      </w:r>
      <w:r w:rsidR="00696473" w:rsidRPr="00AE79A8">
        <w:rPr>
          <w:b w:val="0"/>
          <w:sz w:val="22"/>
          <w:szCs w:val="22"/>
        </w:rPr>
        <w:tab/>
      </w:r>
      <w:r w:rsidR="00696473" w:rsidRPr="00AE79A8">
        <w:rPr>
          <w:b w:val="0"/>
          <w:sz w:val="22"/>
          <w:szCs w:val="22"/>
        </w:rPr>
        <w:tab/>
        <w:t xml:space="preserve">Within </w:t>
      </w:r>
      <w:r w:rsidR="00FD0DB8" w:rsidRPr="00AE79A8">
        <w:rPr>
          <w:b w:val="0"/>
          <w:sz w:val="22"/>
          <w:szCs w:val="22"/>
        </w:rPr>
        <w:t>30</w:t>
      </w:r>
      <w:r w:rsidR="00696473" w:rsidRPr="00AE79A8">
        <w:rPr>
          <w:b w:val="0"/>
          <w:sz w:val="22"/>
          <w:szCs w:val="22"/>
        </w:rPr>
        <w:t xml:space="preserve"> </w:t>
      </w:r>
      <w:proofErr w:type="spellStart"/>
      <w:r w:rsidR="00696473" w:rsidRPr="00AE79A8">
        <w:rPr>
          <w:b w:val="0"/>
          <w:sz w:val="22"/>
          <w:szCs w:val="22"/>
        </w:rPr>
        <w:t>mths</w:t>
      </w:r>
      <w:proofErr w:type="spellEnd"/>
      <w:r w:rsidR="00696473" w:rsidRPr="00AE79A8">
        <w:rPr>
          <w:b w:val="0"/>
          <w:sz w:val="22"/>
          <w:szCs w:val="22"/>
        </w:rPr>
        <w:tab/>
      </w:r>
      <w:r w:rsidR="006C4FB7" w:rsidRPr="00AE79A8">
        <w:rPr>
          <w:b w:val="0"/>
          <w:sz w:val="22"/>
          <w:szCs w:val="22"/>
        </w:rPr>
        <w:t xml:space="preserve">   </w:t>
      </w:r>
      <w:r w:rsidRPr="00AE79A8">
        <w:rPr>
          <w:b w:val="0"/>
          <w:sz w:val="22"/>
          <w:szCs w:val="22"/>
        </w:rPr>
        <w:tab/>
      </w:r>
      <w:r w:rsidR="00C205A9" w:rsidRPr="00AE79A8">
        <w:rPr>
          <w:b w:val="0"/>
          <w:sz w:val="22"/>
          <w:szCs w:val="22"/>
        </w:rPr>
        <w:t xml:space="preserve">  </w:t>
      </w:r>
      <w:r w:rsidR="00900B54" w:rsidRPr="00AE79A8">
        <w:rPr>
          <w:b w:val="0"/>
          <w:sz w:val="22"/>
          <w:szCs w:val="22"/>
        </w:rPr>
        <w:t>7</w:t>
      </w:r>
      <w:r w:rsidR="001D673B" w:rsidRPr="00AE79A8">
        <w:rPr>
          <w:b w:val="0"/>
          <w:sz w:val="22"/>
          <w:szCs w:val="22"/>
        </w:rPr>
        <w:t>5</w:t>
      </w:r>
      <w:r w:rsidR="00FA40A2" w:rsidRPr="00AE79A8">
        <w:rPr>
          <w:b w:val="0"/>
          <w:sz w:val="22"/>
          <w:szCs w:val="22"/>
        </w:rPr>
        <w:t>,</w:t>
      </w:r>
      <w:r w:rsidR="00900B54" w:rsidRPr="00AE79A8">
        <w:rPr>
          <w:b w:val="0"/>
          <w:sz w:val="22"/>
          <w:szCs w:val="22"/>
        </w:rPr>
        <w:t>6</w:t>
      </w:r>
      <w:r w:rsidR="001D673B" w:rsidRPr="00AE79A8">
        <w:rPr>
          <w:b w:val="0"/>
          <w:sz w:val="22"/>
          <w:szCs w:val="22"/>
        </w:rPr>
        <w:t>21</w:t>
      </w:r>
      <w:r w:rsidR="00FA40A2" w:rsidRPr="00AE79A8">
        <w:rPr>
          <w:b w:val="0"/>
          <w:sz w:val="22"/>
          <w:szCs w:val="22"/>
        </w:rPr>
        <w:tab/>
      </w:r>
      <w:r w:rsidR="00CB1B59" w:rsidRPr="00AE79A8">
        <w:rPr>
          <w:b w:val="0"/>
          <w:sz w:val="22"/>
          <w:szCs w:val="22"/>
        </w:rPr>
        <w:t xml:space="preserve">  </w:t>
      </w:r>
      <w:r w:rsidR="00C205A9" w:rsidRPr="00AE79A8">
        <w:rPr>
          <w:b w:val="0"/>
          <w:sz w:val="22"/>
          <w:szCs w:val="22"/>
        </w:rPr>
        <w:t xml:space="preserve">             </w:t>
      </w:r>
      <w:r w:rsidR="00900B54" w:rsidRPr="00AE79A8">
        <w:rPr>
          <w:b w:val="0"/>
          <w:sz w:val="22"/>
          <w:szCs w:val="22"/>
        </w:rPr>
        <w:t xml:space="preserve">   </w:t>
      </w:r>
      <w:r w:rsidR="001D673B" w:rsidRPr="00AE79A8">
        <w:rPr>
          <w:b w:val="0"/>
          <w:sz w:val="22"/>
          <w:szCs w:val="22"/>
        </w:rPr>
        <w:t>-</w:t>
      </w:r>
      <w:r w:rsidR="003A39E0" w:rsidRPr="00AE79A8">
        <w:rPr>
          <w:b w:val="0"/>
          <w:sz w:val="22"/>
          <w:szCs w:val="22"/>
        </w:rPr>
        <w:tab/>
      </w:r>
      <w:r w:rsidR="00FA40A2" w:rsidRPr="00AE79A8">
        <w:rPr>
          <w:b w:val="0"/>
          <w:sz w:val="22"/>
          <w:szCs w:val="22"/>
        </w:rPr>
        <w:t xml:space="preserve">    </w:t>
      </w:r>
    </w:p>
    <w:p w:rsidR="00696473" w:rsidRPr="00AE79A8" w:rsidRDefault="006C4FB7" w:rsidP="00E41BF9">
      <w:pPr>
        <w:rPr>
          <w:b w:val="0"/>
          <w:sz w:val="22"/>
          <w:szCs w:val="22"/>
        </w:rPr>
      </w:pPr>
      <w:r w:rsidRPr="00AE79A8">
        <w:rPr>
          <w:b w:val="0"/>
          <w:sz w:val="22"/>
          <w:szCs w:val="22"/>
        </w:rPr>
        <w:t xml:space="preserve"> </w:t>
      </w:r>
    </w:p>
    <w:p w:rsidR="00FD0DB8" w:rsidRPr="00AE79A8" w:rsidRDefault="00FD0DB8" w:rsidP="00E41BF9">
      <w:pPr>
        <w:rPr>
          <w:b w:val="0"/>
          <w:sz w:val="22"/>
          <w:szCs w:val="22"/>
        </w:rPr>
      </w:pPr>
      <w:r w:rsidRPr="00AE79A8">
        <w:rPr>
          <w:b w:val="0"/>
          <w:sz w:val="22"/>
          <w:szCs w:val="22"/>
        </w:rPr>
        <w:t>Purchase of plant and</w:t>
      </w:r>
    </w:p>
    <w:p w:rsidR="00FD0DB8" w:rsidRPr="00AE79A8" w:rsidRDefault="00FD0DB8" w:rsidP="00E41BF9">
      <w:pPr>
        <w:rPr>
          <w:b w:val="0"/>
          <w:sz w:val="22"/>
          <w:szCs w:val="22"/>
        </w:rPr>
      </w:pPr>
      <w:proofErr w:type="gramStart"/>
      <w:r w:rsidRPr="00AE79A8">
        <w:rPr>
          <w:b w:val="0"/>
          <w:sz w:val="22"/>
          <w:szCs w:val="22"/>
        </w:rPr>
        <w:t>equipment</w:t>
      </w:r>
      <w:proofErr w:type="gramEnd"/>
      <w:r w:rsidRPr="00AE79A8">
        <w:rPr>
          <w:b w:val="0"/>
          <w:sz w:val="22"/>
          <w:szCs w:val="22"/>
        </w:rPr>
        <w:t xml:space="preserve"> for limestone </w:t>
      </w:r>
    </w:p>
    <w:p w:rsidR="00696473" w:rsidRPr="00AE79A8" w:rsidRDefault="00FD0DB8" w:rsidP="00E41BF9">
      <w:pPr>
        <w:rPr>
          <w:b w:val="0"/>
          <w:sz w:val="22"/>
          <w:szCs w:val="22"/>
        </w:rPr>
      </w:pPr>
      <w:proofErr w:type="gramStart"/>
      <w:r w:rsidRPr="00AE79A8">
        <w:rPr>
          <w:b w:val="0"/>
          <w:sz w:val="22"/>
          <w:szCs w:val="22"/>
        </w:rPr>
        <w:t>mining</w:t>
      </w:r>
      <w:proofErr w:type="gramEnd"/>
      <w:r w:rsidRPr="00AE79A8">
        <w:rPr>
          <w:b w:val="0"/>
          <w:sz w:val="22"/>
          <w:szCs w:val="22"/>
        </w:rPr>
        <w:t xml:space="preserve"> operation</w:t>
      </w:r>
      <w:r w:rsidRPr="00AE79A8">
        <w:rPr>
          <w:b w:val="0"/>
          <w:sz w:val="22"/>
          <w:szCs w:val="22"/>
        </w:rPr>
        <w:tab/>
      </w:r>
      <w:r w:rsidRPr="00AE79A8">
        <w:rPr>
          <w:b w:val="0"/>
          <w:sz w:val="22"/>
          <w:szCs w:val="22"/>
        </w:rPr>
        <w:tab/>
      </w:r>
      <w:r w:rsidR="001A6867" w:rsidRPr="00AE79A8">
        <w:rPr>
          <w:b w:val="0"/>
          <w:sz w:val="22"/>
          <w:szCs w:val="22"/>
        </w:rPr>
        <w:tab/>
      </w:r>
      <w:r w:rsidR="007F0632" w:rsidRPr="00AE79A8">
        <w:rPr>
          <w:b w:val="0"/>
          <w:sz w:val="22"/>
          <w:szCs w:val="22"/>
        </w:rPr>
        <w:tab/>
      </w:r>
      <w:r w:rsidRPr="00AE79A8">
        <w:rPr>
          <w:b w:val="0"/>
          <w:sz w:val="22"/>
          <w:szCs w:val="22"/>
        </w:rPr>
        <w:t>10,000</w:t>
      </w:r>
      <w:r w:rsidRPr="00AE79A8">
        <w:rPr>
          <w:b w:val="0"/>
          <w:sz w:val="22"/>
          <w:szCs w:val="22"/>
        </w:rPr>
        <w:tab/>
      </w:r>
      <w:r w:rsidRPr="00AE79A8">
        <w:rPr>
          <w:b w:val="0"/>
          <w:sz w:val="22"/>
          <w:szCs w:val="22"/>
        </w:rPr>
        <w:tab/>
        <w:t xml:space="preserve">Within 12 </w:t>
      </w:r>
      <w:proofErr w:type="spellStart"/>
      <w:r w:rsidRPr="00AE79A8">
        <w:rPr>
          <w:b w:val="0"/>
          <w:sz w:val="22"/>
          <w:szCs w:val="22"/>
        </w:rPr>
        <w:t>mths</w:t>
      </w:r>
      <w:proofErr w:type="spellEnd"/>
      <w:r w:rsidR="00B70106" w:rsidRPr="00AE79A8">
        <w:rPr>
          <w:b w:val="0"/>
          <w:sz w:val="22"/>
          <w:szCs w:val="22"/>
        </w:rPr>
        <w:tab/>
        <w:t xml:space="preserve">  </w:t>
      </w:r>
      <w:r w:rsidR="004136DF" w:rsidRPr="00AE79A8">
        <w:rPr>
          <w:b w:val="0"/>
          <w:sz w:val="22"/>
          <w:szCs w:val="22"/>
        </w:rPr>
        <w:tab/>
      </w:r>
      <w:r w:rsidR="008D0E18" w:rsidRPr="00AE79A8">
        <w:rPr>
          <w:b w:val="0"/>
          <w:sz w:val="22"/>
          <w:szCs w:val="22"/>
        </w:rPr>
        <w:t xml:space="preserve"> </w:t>
      </w:r>
      <w:r w:rsidR="00B70106" w:rsidRPr="00AE79A8">
        <w:rPr>
          <w:b w:val="0"/>
          <w:sz w:val="22"/>
          <w:szCs w:val="22"/>
        </w:rPr>
        <w:t>10,000</w:t>
      </w:r>
      <w:r w:rsidR="00FA40A2" w:rsidRPr="00AE79A8">
        <w:rPr>
          <w:b w:val="0"/>
          <w:sz w:val="22"/>
          <w:szCs w:val="22"/>
        </w:rPr>
        <w:tab/>
      </w:r>
      <w:r w:rsidR="00FA40A2" w:rsidRPr="00AE79A8">
        <w:rPr>
          <w:b w:val="0"/>
          <w:sz w:val="22"/>
          <w:szCs w:val="22"/>
        </w:rPr>
        <w:tab/>
      </w:r>
      <w:r w:rsidR="00F36BA2" w:rsidRPr="00AE79A8">
        <w:rPr>
          <w:b w:val="0"/>
          <w:sz w:val="22"/>
          <w:szCs w:val="22"/>
        </w:rPr>
        <w:t xml:space="preserve">   </w:t>
      </w:r>
      <w:r w:rsidR="00900B54" w:rsidRPr="00AE79A8">
        <w:rPr>
          <w:b w:val="0"/>
          <w:sz w:val="22"/>
          <w:szCs w:val="22"/>
        </w:rPr>
        <w:t xml:space="preserve"> </w:t>
      </w:r>
      <w:r w:rsidR="00F36BA2" w:rsidRPr="00AE79A8">
        <w:rPr>
          <w:b w:val="0"/>
          <w:sz w:val="22"/>
          <w:szCs w:val="22"/>
        </w:rPr>
        <w:t xml:space="preserve"> </w:t>
      </w:r>
      <w:r w:rsidR="00B70106" w:rsidRPr="00AE79A8">
        <w:rPr>
          <w:b w:val="0"/>
          <w:sz w:val="22"/>
          <w:szCs w:val="22"/>
        </w:rPr>
        <w:t>-</w:t>
      </w:r>
    </w:p>
    <w:p w:rsidR="00FD0DB8" w:rsidRPr="00AE79A8" w:rsidRDefault="00FD0DB8" w:rsidP="00E41BF9">
      <w:pPr>
        <w:rPr>
          <w:b w:val="0"/>
          <w:sz w:val="22"/>
          <w:szCs w:val="22"/>
        </w:rPr>
      </w:pPr>
    </w:p>
    <w:p w:rsidR="00CA56BE" w:rsidRPr="00AE79A8" w:rsidRDefault="00CA56BE" w:rsidP="00E41BF9">
      <w:pPr>
        <w:rPr>
          <w:b w:val="0"/>
          <w:sz w:val="22"/>
          <w:szCs w:val="22"/>
        </w:rPr>
      </w:pPr>
      <w:r w:rsidRPr="00AE79A8">
        <w:rPr>
          <w:b w:val="0"/>
          <w:sz w:val="22"/>
          <w:szCs w:val="22"/>
        </w:rPr>
        <w:t>Working capital for limestone</w:t>
      </w:r>
    </w:p>
    <w:p w:rsidR="005A1501" w:rsidRPr="00AE79A8" w:rsidRDefault="00CA56BE" w:rsidP="00E41BF9">
      <w:pPr>
        <w:rPr>
          <w:b w:val="0"/>
          <w:sz w:val="22"/>
          <w:szCs w:val="22"/>
        </w:rPr>
      </w:pPr>
      <w:proofErr w:type="gramStart"/>
      <w:r w:rsidRPr="00AE79A8">
        <w:rPr>
          <w:b w:val="0"/>
          <w:sz w:val="22"/>
          <w:szCs w:val="22"/>
        </w:rPr>
        <w:t>mining</w:t>
      </w:r>
      <w:proofErr w:type="gramEnd"/>
      <w:r w:rsidRPr="00AE79A8">
        <w:rPr>
          <w:b w:val="0"/>
          <w:sz w:val="22"/>
          <w:szCs w:val="22"/>
        </w:rPr>
        <w:t xml:space="preserve"> operation</w:t>
      </w:r>
      <w:r w:rsidRPr="00AE79A8">
        <w:rPr>
          <w:b w:val="0"/>
          <w:sz w:val="22"/>
          <w:szCs w:val="22"/>
        </w:rPr>
        <w:tab/>
      </w:r>
      <w:r w:rsidR="006C4FB7" w:rsidRPr="00AE79A8">
        <w:rPr>
          <w:b w:val="0"/>
          <w:sz w:val="22"/>
          <w:szCs w:val="22"/>
        </w:rPr>
        <w:tab/>
      </w:r>
      <w:r w:rsidR="001A6867" w:rsidRPr="00AE79A8">
        <w:rPr>
          <w:b w:val="0"/>
          <w:sz w:val="22"/>
          <w:szCs w:val="22"/>
        </w:rPr>
        <w:tab/>
      </w:r>
      <w:r w:rsidR="005F03DA" w:rsidRPr="00AE79A8">
        <w:rPr>
          <w:b w:val="0"/>
          <w:sz w:val="22"/>
          <w:szCs w:val="22"/>
        </w:rPr>
        <w:t xml:space="preserve">  </w:t>
      </w:r>
      <w:r w:rsidR="007F0632" w:rsidRPr="00AE79A8">
        <w:rPr>
          <w:b w:val="0"/>
          <w:sz w:val="22"/>
          <w:szCs w:val="22"/>
        </w:rPr>
        <w:tab/>
      </w:r>
      <w:r w:rsidRPr="00AE79A8">
        <w:rPr>
          <w:b w:val="0"/>
          <w:sz w:val="22"/>
          <w:szCs w:val="22"/>
        </w:rPr>
        <w:t>8,000</w:t>
      </w:r>
      <w:r w:rsidRPr="00AE79A8">
        <w:rPr>
          <w:b w:val="0"/>
          <w:sz w:val="22"/>
          <w:szCs w:val="22"/>
        </w:rPr>
        <w:tab/>
      </w:r>
      <w:r w:rsidRPr="00AE79A8">
        <w:rPr>
          <w:b w:val="0"/>
          <w:sz w:val="22"/>
          <w:szCs w:val="22"/>
        </w:rPr>
        <w:tab/>
        <w:t xml:space="preserve">Within 24 </w:t>
      </w:r>
      <w:proofErr w:type="spellStart"/>
      <w:r w:rsidR="00696473" w:rsidRPr="00AE79A8">
        <w:rPr>
          <w:b w:val="0"/>
          <w:sz w:val="22"/>
          <w:szCs w:val="22"/>
        </w:rPr>
        <w:t>mths</w:t>
      </w:r>
      <w:proofErr w:type="spellEnd"/>
      <w:r w:rsidR="00696473" w:rsidRPr="00AE79A8">
        <w:rPr>
          <w:b w:val="0"/>
          <w:sz w:val="22"/>
          <w:szCs w:val="22"/>
        </w:rPr>
        <w:tab/>
      </w:r>
      <w:r w:rsidR="003A39E0" w:rsidRPr="00AE79A8">
        <w:rPr>
          <w:b w:val="0"/>
          <w:sz w:val="22"/>
          <w:szCs w:val="22"/>
        </w:rPr>
        <w:t xml:space="preserve"> </w:t>
      </w:r>
      <w:r w:rsidR="00FA40A2" w:rsidRPr="00AE79A8">
        <w:rPr>
          <w:b w:val="0"/>
          <w:sz w:val="22"/>
          <w:szCs w:val="22"/>
        </w:rPr>
        <w:t xml:space="preserve">  </w:t>
      </w:r>
      <w:r w:rsidR="004136DF" w:rsidRPr="00AE79A8">
        <w:rPr>
          <w:b w:val="0"/>
          <w:sz w:val="22"/>
          <w:szCs w:val="22"/>
        </w:rPr>
        <w:tab/>
      </w:r>
      <w:r w:rsidR="00840D64" w:rsidRPr="00AE79A8">
        <w:rPr>
          <w:b w:val="0"/>
          <w:sz w:val="22"/>
          <w:szCs w:val="22"/>
        </w:rPr>
        <w:t xml:space="preserve"> </w:t>
      </w:r>
      <w:r w:rsidR="008D0E18" w:rsidRPr="00AE79A8">
        <w:rPr>
          <w:b w:val="0"/>
          <w:sz w:val="22"/>
          <w:szCs w:val="22"/>
        </w:rPr>
        <w:t xml:space="preserve">  </w:t>
      </w:r>
      <w:r w:rsidR="00BB610F" w:rsidRPr="00AE79A8">
        <w:rPr>
          <w:b w:val="0"/>
          <w:sz w:val="22"/>
          <w:szCs w:val="22"/>
        </w:rPr>
        <w:t>8</w:t>
      </w:r>
      <w:r w:rsidR="00945D33" w:rsidRPr="00AE79A8">
        <w:rPr>
          <w:b w:val="0"/>
          <w:sz w:val="22"/>
          <w:szCs w:val="22"/>
        </w:rPr>
        <w:t>,</w:t>
      </w:r>
      <w:r w:rsidR="00BB610F" w:rsidRPr="00AE79A8">
        <w:rPr>
          <w:b w:val="0"/>
          <w:sz w:val="22"/>
          <w:szCs w:val="22"/>
        </w:rPr>
        <w:t>000</w:t>
      </w:r>
      <w:r w:rsidR="008926A3" w:rsidRPr="00AE79A8">
        <w:rPr>
          <w:b w:val="0"/>
          <w:sz w:val="22"/>
          <w:szCs w:val="22"/>
        </w:rPr>
        <w:t xml:space="preserve">    </w:t>
      </w:r>
      <w:r w:rsidR="00FA40A2" w:rsidRPr="00AE79A8">
        <w:rPr>
          <w:b w:val="0"/>
          <w:sz w:val="22"/>
          <w:szCs w:val="22"/>
        </w:rPr>
        <w:tab/>
      </w:r>
      <w:r w:rsidR="00472E28" w:rsidRPr="00AE79A8">
        <w:rPr>
          <w:b w:val="0"/>
          <w:sz w:val="22"/>
          <w:szCs w:val="22"/>
        </w:rPr>
        <w:t xml:space="preserve">  </w:t>
      </w:r>
      <w:r w:rsidR="00900B54" w:rsidRPr="00AE79A8">
        <w:rPr>
          <w:b w:val="0"/>
          <w:sz w:val="22"/>
          <w:szCs w:val="22"/>
        </w:rPr>
        <w:t xml:space="preserve">  </w:t>
      </w:r>
      <w:r w:rsidR="00945D33" w:rsidRPr="00AE79A8">
        <w:rPr>
          <w:b w:val="0"/>
          <w:sz w:val="22"/>
          <w:szCs w:val="22"/>
        </w:rPr>
        <w:t xml:space="preserve"> </w:t>
      </w:r>
      <w:r w:rsidR="00900B54" w:rsidRPr="00AE79A8">
        <w:rPr>
          <w:b w:val="0"/>
          <w:sz w:val="22"/>
          <w:szCs w:val="22"/>
        </w:rPr>
        <w:t>-</w:t>
      </w:r>
      <w:r w:rsidR="003A39E0" w:rsidRPr="00AE79A8">
        <w:rPr>
          <w:b w:val="0"/>
          <w:sz w:val="22"/>
          <w:szCs w:val="22"/>
        </w:rPr>
        <w:t xml:space="preserve"> </w:t>
      </w:r>
      <w:r w:rsidR="001303CF" w:rsidRPr="00AE79A8">
        <w:rPr>
          <w:b w:val="0"/>
          <w:sz w:val="22"/>
          <w:szCs w:val="22"/>
        </w:rPr>
        <w:t xml:space="preserve">     </w:t>
      </w:r>
      <w:r w:rsidR="00036892" w:rsidRPr="00AE79A8">
        <w:rPr>
          <w:b w:val="0"/>
          <w:sz w:val="22"/>
          <w:szCs w:val="22"/>
        </w:rPr>
        <w:tab/>
      </w:r>
    </w:p>
    <w:p w:rsidR="00CA56BE" w:rsidRPr="00AE79A8" w:rsidRDefault="00036892" w:rsidP="00E41BF9">
      <w:pPr>
        <w:rPr>
          <w:b w:val="0"/>
          <w:sz w:val="22"/>
          <w:szCs w:val="22"/>
        </w:rPr>
      </w:pPr>
      <w:r w:rsidRPr="00AE79A8">
        <w:rPr>
          <w:b w:val="0"/>
          <w:sz w:val="22"/>
          <w:szCs w:val="22"/>
        </w:rPr>
        <w:t xml:space="preserve">Working capital </w:t>
      </w:r>
      <w:r w:rsidR="00CA56BE" w:rsidRPr="00AE79A8">
        <w:rPr>
          <w:b w:val="0"/>
          <w:sz w:val="22"/>
          <w:szCs w:val="22"/>
        </w:rPr>
        <w:t>for fast food</w:t>
      </w:r>
    </w:p>
    <w:p w:rsidR="005A1501" w:rsidRPr="00AE79A8" w:rsidRDefault="00CA56BE" w:rsidP="00E41BF9">
      <w:pPr>
        <w:rPr>
          <w:b w:val="0"/>
          <w:sz w:val="22"/>
          <w:szCs w:val="22"/>
        </w:rPr>
      </w:pPr>
      <w:r w:rsidRPr="00AE79A8">
        <w:rPr>
          <w:b w:val="0"/>
          <w:sz w:val="22"/>
          <w:szCs w:val="22"/>
        </w:rPr>
        <w:t>Operation</w:t>
      </w:r>
      <w:r w:rsidRPr="00AE79A8">
        <w:rPr>
          <w:b w:val="0"/>
          <w:sz w:val="22"/>
          <w:szCs w:val="22"/>
        </w:rPr>
        <w:tab/>
      </w:r>
      <w:r w:rsidR="005A1501" w:rsidRPr="00AE79A8">
        <w:rPr>
          <w:b w:val="0"/>
          <w:sz w:val="22"/>
          <w:szCs w:val="22"/>
        </w:rPr>
        <w:tab/>
      </w:r>
      <w:r w:rsidR="001A6867" w:rsidRPr="00AE79A8">
        <w:rPr>
          <w:b w:val="0"/>
          <w:sz w:val="22"/>
          <w:szCs w:val="22"/>
        </w:rPr>
        <w:tab/>
      </w:r>
      <w:r w:rsidR="005A1501" w:rsidRPr="00AE79A8">
        <w:rPr>
          <w:b w:val="0"/>
          <w:sz w:val="22"/>
          <w:szCs w:val="22"/>
        </w:rPr>
        <w:tab/>
      </w:r>
      <w:r w:rsidR="005F03DA" w:rsidRPr="00AE79A8">
        <w:rPr>
          <w:b w:val="0"/>
          <w:sz w:val="22"/>
          <w:szCs w:val="22"/>
        </w:rPr>
        <w:t xml:space="preserve">  </w:t>
      </w:r>
      <w:r w:rsidR="007F0632" w:rsidRPr="00AE79A8">
        <w:rPr>
          <w:b w:val="0"/>
          <w:sz w:val="22"/>
          <w:szCs w:val="22"/>
        </w:rPr>
        <w:tab/>
      </w:r>
      <w:r w:rsidRPr="00AE79A8">
        <w:rPr>
          <w:b w:val="0"/>
          <w:sz w:val="22"/>
          <w:szCs w:val="22"/>
        </w:rPr>
        <w:t>5</w:t>
      </w:r>
      <w:r w:rsidR="00036892" w:rsidRPr="00AE79A8">
        <w:rPr>
          <w:b w:val="0"/>
          <w:sz w:val="22"/>
          <w:szCs w:val="22"/>
        </w:rPr>
        <w:t>,</w:t>
      </w:r>
      <w:r w:rsidRPr="00AE79A8">
        <w:rPr>
          <w:b w:val="0"/>
          <w:sz w:val="22"/>
          <w:szCs w:val="22"/>
        </w:rPr>
        <w:t>000</w:t>
      </w:r>
      <w:r w:rsidR="005A1501" w:rsidRPr="00AE79A8">
        <w:rPr>
          <w:b w:val="0"/>
          <w:sz w:val="22"/>
          <w:szCs w:val="22"/>
        </w:rPr>
        <w:tab/>
      </w:r>
      <w:r w:rsidR="005A1501" w:rsidRPr="00AE79A8">
        <w:rPr>
          <w:b w:val="0"/>
          <w:sz w:val="22"/>
          <w:szCs w:val="22"/>
        </w:rPr>
        <w:tab/>
        <w:t xml:space="preserve">Within </w:t>
      </w:r>
      <w:r w:rsidRPr="00AE79A8">
        <w:rPr>
          <w:b w:val="0"/>
          <w:sz w:val="22"/>
          <w:szCs w:val="22"/>
        </w:rPr>
        <w:t>12</w:t>
      </w:r>
      <w:r w:rsidR="005A1501" w:rsidRPr="00AE79A8">
        <w:rPr>
          <w:b w:val="0"/>
          <w:sz w:val="22"/>
          <w:szCs w:val="22"/>
        </w:rPr>
        <w:t xml:space="preserve"> </w:t>
      </w:r>
      <w:proofErr w:type="spellStart"/>
      <w:r w:rsidR="005A1501" w:rsidRPr="00AE79A8">
        <w:rPr>
          <w:b w:val="0"/>
          <w:sz w:val="22"/>
          <w:szCs w:val="22"/>
        </w:rPr>
        <w:t>mths</w:t>
      </w:r>
      <w:proofErr w:type="spellEnd"/>
      <w:r w:rsidR="005A1501" w:rsidRPr="00AE79A8">
        <w:rPr>
          <w:b w:val="0"/>
          <w:sz w:val="22"/>
          <w:szCs w:val="22"/>
        </w:rPr>
        <w:tab/>
        <w:t xml:space="preserve">   </w:t>
      </w:r>
      <w:r w:rsidR="00472E28" w:rsidRPr="00AE79A8">
        <w:rPr>
          <w:b w:val="0"/>
          <w:sz w:val="22"/>
          <w:szCs w:val="22"/>
        </w:rPr>
        <w:t xml:space="preserve">   </w:t>
      </w:r>
      <w:r w:rsidR="004136DF" w:rsidRPr="00AE79A8">
        <w:rPr>
          <w:b w:val="0"/>
          <w:sz w:val="22"/>
          <w:szCs w:val="22"/>
        </w:rPr>
        <w:tab/>
      </w:r>
      <w:r w:rsidR="008D0E18" w:rsidRPr="00AE79A8">
        <w:rPr>
          <w:b w:val="0"/>
          <w:sz w:val="22"/>
          <w:szCs w:val="22"/>
        </w:rPr>
        <w:t xml:space="preserve">   </w:t>
      </w:r>
      <w:r w:rsidR="00674608" w:rsidRPr="00AE79A8">
        <w:rPr>
          <w:b w:val="0"/>
          <w:sz w:val="22"/>
          <w:szCs w:val="22"/>
        </w:rPr>
        <w:t>5,000</w:t>
      </w:r>
      <w:r w:rsidR="005A1501" w:rsidRPr="00AE79A8">
        <w:rPr>
          <w:b w:val="0"/>
          <w:sz w:val="22"/>
          <w:szCs w:val="22"/>
        </w:rPr>
        <w:tab/>
      </w:r>
      <w:r w:rsidR="00A56A61" w:rsidRPr="00AE79A8">
        <w:rPr>
          <w:b w:val="0"/>
          <w:sz w:val="22"/>
          <w:szCs w:val="22"/>
        </w:rPr>
        <w:tab/>
      </w:r>
      <w:r w:rsidR="00D80727" w:rsidRPr="00AE79A8">
        <w:rPr>
          <w:b w:val="0"/>
          <w:sz w:val="22"/>
          <w:szCs w:val="22"/>
        </w:rPr>
        <w:t xml:space="preserve"> </w:t>
      </w:r>
      <w:r w:rsidR="00C205A9" w:rsidRPr="00AE79A8">
        <w:rPr>
          <w:b w:val="0"/>
          <w:sz w:val="22"/>
          <w:szCs w:val="22"/>
        </w:rPr>
        <w:t xml:space="preserve"> </w:t>
      </w:r>
      <w:r w:rsidR="00BD5843" w:rsidRPr="00AE79A8">
        <w:rPr>
          <w:b w:val="0"/>
          <w:sz w:val="22"/>
          <w:szCs w:val="22"/>
        </w:rPr>
        <w:t xml:space="preserve">   </w:t>
      </w:r>
      <w:r w:rsidR="00674608" w:rsidRPr="00AE79A8">
        <w:rPr>
          <w:b w:val="0"/>
          <w:sz w:val="22"/>
          <w:szCs w:val="22"/>
        </w:rPr>
        <w:t>-</w:t>
      </w:r>
    </w:p>
    <w:p w:rsidR="005A1501" w:rsidRPr="00AE79A8" w:rsidRDefault="005A1501" w:rsidP="00E41BF9">
      <w:pPr>
        <w:rPr>
          <w:b w:val="0"/>
          <w:sz w:val="22"/>
          <w:szCs w:val="22"/>
        </w:rPr>
      </w:pPr>
      <w:r w:rsidRPr="00AE79A8">
        <w:rPr>
          <w:b w:val="0"/>
          <w:sz w:val="22"/>
          <w:szCs w:val="22"/>
        </w:rPr>
        <w:t xml:space="preserve"> </w:t>
      </w:r>
    </w:p>
    <w:p w:rsidR="00CA56BE" w:rsidRPr="00AE79A8" w:rsidRDefault="00CA56BE" w:rsidP="00E41BF9">
      <w:pPr>
        <w:rPr>
          <w:b w:val="0"/>
          <w:sz w:val="22"/>
          <w:szCs w:val="22"/>
        </w:rPr>
      </w:pPr>
      <w:r w:rsidRPr="00AE79A8">
        <w:rPr>
          <w:b w:val="0"/>
          <w:sz w:val="22"/>
          <w:szCs w:val="22"/>
        </w:rPr>
        <w:t>Future investments</w:t>
      </w:r>
      <w:r w:rsidRPr="00AE79A8">
        <w:rPr>
          <w:b w:val="0"/>
          <w:sz w:val="22"/>
          <w:szCs w:val="22"/>
        </w:rPr>
        <w:tab/>
      </w:r>
      <w:r w:rsidRPr="00AE79A8">
        <w:rPr>
          <w:b w:val="0"/>
          <w:sz w:val="22"/>
          <w:szCs w:val="22"/>
        </w:rPr>
        <w:tab/>
      </w:r>
      <w:r w:rsidR="001A6867" w:rsidRPr="00AE79A8">
        <w:rPr>
          <w:b w:val="0"/>
          <w:sz w:val="22"/>
          <w:szCs w:val="22"/>
        </w:rPr>
        <w:tab/>
      </w:r>
      <w:r w:rsidR="007F0632" w:rsidRPr="00AE79A8">
        <w:rPr>
          <w:b w:val="0"/>
          <w:sz w:val="22"/>
          <w:szCs w:val="22"/>
        </w:rPr>
        <w:tab/>
      </w:r>
      <w:r w:rsidRPr="00AE79A8">
        <w:rPr>
          <w:b w:val="0"/>
          <w:sz w:val="22"/>
          <w:szCs w:val="22"/>
        </w:rPr>
        <w:t>60,000</w:t>
      </w:r>
      <w:r w:rsidRPr="00AE79A8">
        <w:rPr>
          <w:b w:val="0"/>
          <w:sz w:val="22"/>
          <w:szCs w:val="22"/>
        </w:rPr>
        <w:tab/>
      </w:r>
      <w:r w:rsidRPr="00AE79A8">
        <w:rPr>
          <w:b w:val="0"/>
          <w:sz w:val="22"/>
          <w:szCs w:val="22"/>
        </w:rPr>
        <w:tab/>
      </w:r>
      <w:proofErr w:type="gramStart"/>
      <w:r w:rsidRPr="00AE79A8">
        <w:rPr>
          <w:b w:val="0"/>
          <w:sz w:val="22"/>
          <w:szCs w:val="22"/>
        </w:rPr>
        <w:t>Within</w:t>
      </w:r>
      <w:proofErr w:type="gramEnd"/>
      <w:r w:rsidRPr="00AE79A8">
        <w:rPr>
          <w:b w:val="0"/>
          <w:sz w:val="22"/>
          <w:szCs w:val="22"/>
        </w:rPr>
        <w:t xml:space="preserve"> 24 </w:t>
      </w:r>
      <w:proofErr w:type="spellStart"/>
      <w:r w:rsidRPr="00AE79A8">
        <w:rPr>
          <w:b w:val="0"/>
          <w:sz w:val="22"/>
          <w:szCs w:val="22"/>
        </w:rPr>
        <w:t>mths</w:t>
      </w:r>
      <w:proofErr w:type="spellEnd"/>
      <w:r w:rsidR="001562B3" w:rsidRPr="00AE79A8">
        <w:rPr>
          <w:b w:val="0"/>
          <w:sz w:val="22"/>
          <w:szCs w:val="22"/>
        </w:rPr>
        <w:tab/>
      </w:r>
      <w:r w:rsidR="004136DF" w:rsidRPr="00AE79A8">
        <w:rPr>
          <w:b w:val="0"/>
          <w:sz w:val="22"/>
          <w:szCs w:val="22"/>
        </w:rPr>
        <w:tab/>
      </w:r>
      <w:r w:rsidR="00C205A9" w:rsidRPr="00AE79A8">
        <w:rPr>
          <w:b w:val="0"/>
          <w:sz w:val="22"/>
          <w:szCs w:val="22"/>
        </w:rPr>
        <w:t xml:space="preserve"> </w:t>
      </w:r>
      <w:r w:rsidR="00070FF3" w:rsidRPr="00AE79A8">
        <w:rPr>
          <w:b w:val="0"/>
          <w:sz w:val="22"/>
          <w:szCs w:val="22"/>
        </w:rPr>
        <w:t>60</w:t>
      </w:r>
      <w:r w:rsidR="00B70106" w:rsidRPr="00AE79A8">
        <w:rPr>
          <w:b w:val="0"/>
          <w:sz w:val="22"/>
          <w:szCs w:val="22"/>
        </w:rPr>
        <w:t>,</w:t>
      </w:r>
      <w:r w:rsidR="00737039" w:rsidRPr="00AE79A8">
        <w:rPr>
          <w:b w:val="0"/>
          <w:sz w:val="22"/>
          <w:szCs w:val="22"/>
        </w:rPr>
        <w:t>000</w:t>
      </w:r>
      <w:r w:rsidR="004136DF" w:rsidRPr="00AE79A8">
        <w:rPr>
          <w:b w:val="0"/>
          <w:sz w:val="22"/>
          <w:szCs w:val="22"/>
        </w:rPr>
        <w:tab/>
      </w:r>
      <w:r w:rsidR="004136DF" w:rsidRPr="00AE79A8">
        <w:rPr>
          <w:b w:val="0"/>
          <w:sz w:val="22"/>
          <w:szCs w:val="22"/>
        </w:rPr>
        <w:tab/>
      </w:r>
      <w:r w:rsidR="00737039" w:rsidRPr="00AE79A8">
        <w:rPr>
          <w:b w:val="0"/>
          <w:sz w:val="22"/>
          <w:szCs w:val="22"/>
        </w:rPr>
        <w:t xml:space="preserve">  </w:t>
      </w:r>
      <w:r w:rsidR="00070FF3" w:rsidRPr="00AE79A8">
        <w:rPr>
          <w:b w:val="0"/>
          <w:sz w:val="22"/>
          <w:szCs w:val="22"/>
        </w:rPr>
        <w:t xml:space="preserve">   -</w:t>
      </w:r>
    </w:p>
    <w:p w:rsidR="004136DF" w:rsidRPr="00AE79A8" w:rsidRDefault="004136DF" w:rsidP="00E41BF9">
      <w:pPr>
        <w:rPr>
          <w:b w:val="0"/>
          <w:sz w:val="22"/>
          <w:szCs w:val="22"/>
        </w:rPr>
      </w:pPr>
    </w:p>
    <w:p w:rsidR="00CA56BE" w:rsidRPr="00AE79A8" w:rsidRDefault="00CA56BE" w:rsidP="00E41BF9">
      <w:pPr>
        <w:rPr>
          <w:b w:val="0"/>
          <w:sz w:val="22"/>
          <w:szCs w:val="22"/>
        </w:rPr>
      </w:pPr>
      <w:r w:rsidRPr="00AE79A8">
        <w:rPr>
          <w:b w:val="0"/>
          <w:sz w:val="22"/>
          <w:szCs w:val="22"/>
        </w:rPr>
        <w:t>Repayment of borrowings</w:t>
      </w:r>
      <w:r w:rsidRPr="00AE79A8">
        <w:rPr>
          <w:b w:val="0"/>
          <w:sz w:val="22"/>
          <w:szCs w:val="22"/>
        </w:rPr>
        <w:tab/>
      </w:r>
      <w:r w:rsidR="001A6867" w:rsidRPr="00AE79A8">
        <w:rPr>
          <w:b w:val="0"/>
          <w:sz w:val="22"/>
          <w:szCs w:val="22"/>
        </w:rPr>
        <w:tab/>
      </w:r>
      <w:r w:rsidR="007F0632" w:rsidRPr="00AE79A8">
        <w:rPr>
          <w:b w:val="0"/>
          <w:sz w:val="22"/>
          <w:szCs w:val="22"/>
        </w:rPr>
        <w:tab/>
      </w:r>
      <w:r w:rsidR="00FA40A2" w:rsidRPr="00AE79A8">
        <w:rPr>
          <w:b w:val="0"/>
          <w:sz w:val="22"/>
          <w:szCs w:val="22"/>
        </w:rPr>
        <w:t>20</w:t>
      </w:r>
      <w:r w:rsidRPr="00AE79A8">
        <w:rPr>
          <w:b w:val="0"/>
          <w:sz w:val="22"/>
          <w:szCs w:val="22"/>
        </w:rPr>
        <w:t>,</w:t>
      </w:r>
      <w:r w:rsidR="00FA40A2" w:rsidRPr="00AE79A8">
        <w:rPr>
          <w:b w:val="0"/>
          <w:sz w:val="22"/>
          <w:szCs w:val="22"/>
        </w:rPr>
        <w:t>409</w:t>
      </w:r>
      <w:r w:rsidR="00036892" w:rsidRPr="00AE79A8">
        <w:rPr>
          <w:b w:val="0"/>
          <w:sz w:val="22"/>
          <w:szCs w:val="22"/>
        </w:rPr>
        <w:tab/>
      </w:r>
      <w:r w:rsidR="00036892" w:rsidRPr="00AE79A8">
        <w:rPr>
          <w:b w:val="0"/>
          <w:sz w:val="22"/>
          <w:szCs w:val="22"/>
        </w:rPr>
        <w:tab/>
        <w:t xml:space="preserve">Within </w:t>
      </w:r>
      <w:r w:rsidRPr="00AE79A8">
        <w:rPr>
          <w:b w:val="0"/>
          <w:sz w:val="22"/>
          <w:szCs w:val="22"/>
        </w:rPr>
        <w:t>3</w:t>
      </w:r>
      <w:r w:rsidR="00036892" w:rsidRPr="00AE79A8">
        <w:rPr>
          <w:b w:val="0"/>
          <w:sz w:val="22"/>
          <w:szCs w:val="22"/>
        </w:rPr>
        <w:t xml:space="preserve"> </w:t>
      </w:r>
      <w:proofErr w:type="spellStart"/>
      <w:r w:rsidR="00036892" w:rsidRPr="00AE79A8">
        <w:rPr>
          <w:b w:val="0"/>
          <w:sz w:val="22"/>
          <w:szCs w:val="22"/>
        </w:rPr>
        <w:t>m</w:t>
      </w:r>
      <w:r w:rsidR="005A1501" w:rsidRPr="00AE79A8">
        <w:rPr>
          <w:b w:val="0"/>
          <w:sz w:val="22"/>
          <w:szCs w:val="22"/>
        </w:rPr>
        <w:t>th</w:t>
      </w:r>
      <w:r w:rsidRPr="00AE79A8">
        <w:rPr>
          <w:b w:val="0"/>
          <w:sz w:val="22"/>
          <w:szCs w:val="22"/>
        </w:rPr>
        <w:t>s</w:t>
      </w:r>
      <w:proofErr w:type="spellEnd"/>
      <w:r w:rsidR="00A56A61" w:rsidRPr="00AE79A8">
        <w:rPr>
          <w:b w:val="0"/>
          <w:sz w:val="22"/>
          <w:szCs w:val="22"/>
        </w:rPr>
        <w:tab/>
      </w:r>
      <w:r w:rsidR="004136DF" w:rsidRPr="00AE79A8">
        <w:rPr>
          <w:b w:val="0"/>
          <w:sz w:val="22"/>
          <w:szCs w:val="22"/>
        </w:rPr>
        <w:tab/>
      </w:r>
      <w:r w:rsidR="00840D64" w:rsidRPr="00AE79A8">
        <w:rPr>
          <w:b w:val="0"/>
          <w:sz w:val="22"/>
          <w:szCs w:val="22"/>
        </w:rPr>
        <w:t xml:space="preserve"> </w:t>
      </w:r>
      <w:r w:rsidR="00737039" w:rsidRPr="00AE79A8">
        <w:rPr>
          <w:b w:val="0"/>
          <w:sz w:val="22"/>
          <w:szCs w:val="22"/>
        </w:rPr>
        <w:t>2</w:t>
      </w:r>
      <w:r w:rsidR="00FA40A2" w:rsidRPr="00AE79A8">
        <w:rPr>
          <w:b w:val="0"/>
          <w:sz w:val="22"/>
          <w:szCs w:val="22"/>
        </w:rPr>
        <w:t>0</w:t>
      </w:r>
      <w:r w:rsidR="00A56A61" w:rsidRPr="00AE79A8">
        <w:rPr>
          <w:b w:val="0"/>
          <w:sz w:val="22"/>
          <w:szCs w:val="22"/>
        </w:rPr>
        <w:t>,</w:t>
      </w:r>
      <w:r w:rsidR="00FA40A2" w:rsidRPr="00AE79A8">
        <w:rPr>
          <w:b w:val="0"/>
          <w:sz w:val="22"/>
          <w:szCs w:val="22"/>
        </w:rPr>
        <w:t>409</w:t>
      </w:r>
      <w:r w:rsidR="009059ED" w:rsidRPr="00AE79A8">
        <w:rPr>
          <w:b w:val="0"/>
          <w:sz w:val="22"/>
          <w:szCs w:val="22"/>
        </w:rPr>
        <w:tab/>
      </w:r>
      <w:r w:rsidR="009059ED" w:rsidRPr="00AE79A8">
        <w:rPr>
          <w:b w:val="0"/>
          <w:sz w:val="22"/>
          <w:szCs w:val="22"/>
        </w:rPr>
        <w:tab/>
      </w:r>
      <w:r w:rsidR="00F36BA2" w:rsidRPr="00AE79A8">
        <w:rPr>
          <w:b w:val="0"/>
          <w:sz w:val="22"/>
          <w:szCs w:val="22"/>
        </w:rPr>
        <w:t xml:space="preserve">     </w:t>
      </w:r>
      <w:r w:rsidR="009059ED" w:rsidRPr="00AE79A8">
        <w:rPr>
          <w:b w:val="0"/>
          <w:sz w:val="22"/>
          <w:szCs w:val="22"/>
        </w:rPr>
        <w:t>-</w:t>
      </w:r>
    </w:p>
    <w:p w:rsidR="00CA56BE" w:rsidRPr="00AE79A8" w:rsidRDefault="00CA56BE" w:rsidP="00E41BF9">
      <w:pPr>
        <w:pStyle w:val="ListParagraph"/>
        <w:rPr>
          <w:b w:val="0"/>
          <w:sz w:val="22"/>
          <w:szCs w:val="22"/>
        </w:rPr>
      </w:pPr>
    </w:p>
    <w:p w:rsidR="00F36BA2" w:rsidRPr="00AE79A8" w:rsidRDefault="00CA56BE" w:rsidP="00E41BF9">
      <w:pPr>
        <w:rPr>
          <w:b w:val="0"/>
          <w:sz w:val="22"/>
          <w:szCs w:val="22"/>
        </w:rPr>
      </w:pPr>
      <w:r w:rsidRPr="00AE79A8">
        <w:rPr>
          <w:b w:val="0"/>
          <w:sz w:val="22"/>
          <w:szCs w:val="22"/>
        </w:rPr>
        <w:t xml:space="preserve">Estimated expenses in </w:t>
      </w:r>
    </w:p>
    <w:p w:rsidR="00F36BA2" w:rsidRPr="00AE79A8" w:rsidRDefault="00CA56BE" w:rsidP="00E41BF9">
      <w:pPr>
        <w:rPr>
          <w:b w:val="0"/>
          <w:sz w:val="22"/>
          <w:szCs w:val="22"/>
        </w:rPr>
      </w:pPr>
      <w:proofErr w:type="gramStart"/>
      <w:r w:rsidRPr="00AE79A8">
        <w:rPr>
          <w:b w:val="0"/>
          <w:sz w:val="22"/>
          <w:szCs w:val="22"/>
        </w:rPr>
        <w:t>relation</w:t>
      </w:r>
      <w:proofErr w:type="gramEnd"/>
      <w:r w:rsidRPr="00AE79A8">
        <w:rPr>
          <w:b w:val="0"/>
          <w:sz w:val="22"/>
          <w:szCs w:val="22"/>
        </w:rPr>
        <w:t xml:space="preserve"> to the Rights </w:t>
      </w:r>
    </w:p>
    <w:p w:rsidR="005A1501" w:rsidRPr="00AE79A8" w:rsidRDefault="00CA56BE" w:rsidP="00E41BF9">
      <w:pPr>
        <w:rPr>
          <w:b w:val="0"/>
          <w:sz w:val="22"/>
          <w:szCs w:val="22"/>
        </w:rPr>
      </w:pPr>
      <w:r w:rsidRPr="00AE79A8">
        <w:rPr>
          <w:b w:val="0"/>
          <w:sz w:val="22"/>
          <w:szCs w:val="22"/>
        </w:rPr>
        <w:t xml:space="preserve">Issue with </w:t>
      </w:r>
      <w:r w:rsidR="00F36BA2" w:rsidRPr="00AE79A8">
        <w:rPr>
          <w:b w:val="0"/>
          <w:sz w:val="22"/>
          <w:szCs w:val="22"/>
        </w:rPr>
        <w:t>w</w:t>
      </w:r>
      <w:r w:rsidRPr="00AE79A8">
        <w:rPr>
          <w:b w:val="0"/>
          <w:sz w:val="22"/>
          <w:szCs w:val="22"/>
        </w:rPr>
        <w:t>arrants</w:t>
      </w:r>
      <w:r w:rsidR="005A1501" w:rsidRPr="00AE79A8">
        <w:rPr>
          <w:b w:val="0"/>
          <w:sz w:val="22"/>
          <w:szCs w:val="22"/>
        </w:rPr>
        <w:tab/>
        <w:t xml:space="preserve">  </w:t>
      </w:r>
      <w:r w:rsidR="00F36BA2" w:rsidRPr="00AE79A8">
        <w:rPr>
          <w:b w:val="0"/>
          <w:sz w:val="22"/>
          <w:szCs w:val="22"/>
        </w:rPr>
        <w:tab/>
      </w:r>
      <w:r w:rsidR="001A6867" w:rsidRPr="00AE79A8">
        <w:rPr>
          <w:b w:val="0"/>
          <w:sz w:val="22"/>
          <w:szCs w:val="22"/>
        </w:rPr>
        <w:tab/>
      </w:r>
      <w:r w:rsidR="007F0632" w:rsidRPr="00AE79A8">
        <w:rPr>
          <w:b w:val="0"/>
          <w:sz w:val="22"/>
          <w:szCs w:val="22"/>
        </w:rPr>
        <w:tab/>
      </w:r>
      <w:r w:rsidRPr="00AE79A8">
        <w:rPr>
          <w:b w:val="0"/>
          <w:sz w:val="22"/>
          <w:szCs w:val="22"/>
        </w:rPr>
        <w:t>4,750</w:t>
      </w:r>
      <w:r w:rsidRPr="00AE79A8">
        <w:rPr>
          <w:b w:val="0"/>
          <w:sz w:val="22"/>
          <w:szCs w:val="22"/>
        </w:rPr>
        <w:tab/>
      </w:r>
      <w:r w:rsidRPr="00AE79A8">
        <w:rPr>
          <w:b w:val="0"/>
          <w:sz w:val="22"/>
          <w:szCs w:val="22"/>
        </w:rPr>
        <w:tab/>
        <w:t xml:space="preserve">Within 3 </w:t>
      </w:r>
      <w:proofErr w:type="spellStart"/>
      <w:r w:rsidRPr="00AE79A8">
        <w:rPr>
          <w:b w:val="0"/>
          <w:sz w:val="22"/>
          <w:szCs w:val="22"/>
        </w:rPr>
        <w:t>mths</w:t>
      </w:r>
      <w:proofErr w:type="spellEnd"/>
      <w:r w:rsidR="005A1501" w:rsidRPr="00AE79A8">
        <w:rPr>
          <w:b w:val="0"/>
          <w:sz w:val="22"/>
          <w:szCs w:val="22"/>
        </w:rPr>
        <w:tab/>
      </w:r>
      <w:r w:rsidR="005F03DA" w:rsidRPr="00AE79A8">
        <w:rPr>
          <w:b w:val="0"/>
          <w:sz w:val="22"/>
          <w:szCs w:val="22"/>
        </w:rPr>
        <w:t xml:space="preserve">  </w:t>
      </w:r>
      <w:r w:rsidR="004136DF" w:rsidRPr="00AE79A8">
        <w:rPr>
          <w:b w:val="0"/>
          <w:sz w:val="22"/>
          <w:szCs w:val="22"/>
        </w:rPr>
        <w:tab/>
      </w:r>
      <w:r w:rsidR="008D0E18" w:rsidRPr="00AE79A8">
        <w:rPr>
          <w:b w:val="0"/>
          <w:sz w:val="22"/>
          <w:szCs w:val="22"/>
        </w:rPr>
        <w:t xml:space="preserve">  </w:t>
      </w:r>
      <w:r w:rsidR="00840D64" w:rsidRPr="00AE79A8">
        <w:rPr>
          <w:b w:val="0"/>
          <w:sz w:val="22"/>
          <w:szCs w:val="22"/>
        </w:rPr>
        <w:t xml:space="preserve"> </w:t>
      </w:r>
      <w:r w:rsidR="009059ED" w:rsidRPr="00AE79A8">
        <w:rPr>
          <w:b w:val="0"/>
          <w:sz w:val="22"/>
          <w:szCs w:val="22"/>
        </w:rPr>
        <w:t>4,750</w:t>
      </w:r>
      <w:r w:rsidR="005A1501" w:rsidRPr="00AE79A8">
        <w:rPr>
          <w:b w:val="0"/>
          <w:sz w:val="22"/>
          <w:szCs w:val="22"/>
        </w:rPr>
        <w:tab/>
      </w:r>
      <w:r w:rsidR="00A56A61" w:rsidRPr="00AE79A8">
        <w:rPr>
          <w:b w:val="0"/>
          <w:sz w:val="22"/>
          <w:szCs w:val="22"/>
        </w:rPr>
        <w:tab/>
      </w:r>
      <w:r w:rsidR="00F36BA2" w:rsidRPr="00AE79A8">
        <w:rPr>
          <w:b w:val="0"/>
          <w:sz w:val="22"/>
          <w:szCs w:val="22"/>
        </w:rPr>
        <w:t xml:space="preserve">      </w:t>
      </w:r>
      <w:r w:rsidR="009059ED" w:rsidRPr="00AE79A8">
        <w:rPr>
          <w:b w:val="0"/>
          <w:sz w:val="22"/>
          <w:szCs w:val="22"/>
        </w:rPr>
        <w:t>-</w:t>
      </w:r>
      <w:r w:rsidR="005A1501" w:rsidRPr="00AE79A8">
        <w:rPr>
          <w:b w:val="0"/>
          <w:sz w:val="22"/>
          <w:szCs w:val="22"/>
        </w:rPr>
        <w:t xml:space="preserve">      </w:t>
      </w:r>
    </w:p>
    <w:p w:rsidR="00696473" w:rsidRPr="00AE79A8" w:rsidRDefault="00036892" w:rsidP="00E41BF9">
      <w:pPr>
        <w:rPr>
          <w:b w:val="0"/>
          <w:sz w:val="22"/>
          <w:szCs w:val="22"/>
        </w:rPr>
      </w:pPr>
      <w:r w:rsidRPr="00AE79A8">
        <w:rPr>
          <w:b w:val="0"/>
          <w:sz w:val="22"/>
          <w:szCs w:val="22"/>
        </w:rPr>
        <w:tab/>
      </w:r>
      <w:r w:rsidRPr="00AE79A8">
        <w:rPr>
          <w:b w:val="0"/>
          <w:sz w:val="22"/>
          <w:szCs w:val="22"/>
        </w:rPr>
        <w:tab/>
      </w:r>
      <w:r w:rsidRPr="00AE79A8">
        <w:rPr>
          <w:b w:val="0"/>
          <w:sz w:val="22"/>
          <w:szCs w:val="22"/>
        </w:rPr>
        <w:tab/>
        <w:t xml:space="preserve">            </w:t>
      </w:r>
      <w:r w:rsidR="001A6867" w:rsidRPr="00AE79A8">
        <w:rPr>
          <w:b w:val="0"/>
          <w:sz w:val="22"/>
          <w:szCs w:val="22"/>
        </w:rPr>
        <w:t xml:space="preserve">              </w:t>
      </w:r>
      <w:r w:rsidR="007F0632" w:rsidRPr="00AE79A8">
        <w:rPr>
          <w:b w:val="0"/>
          <w:sz w:val="22"/>
          <w:szCs w:val="22"/>
        </w:rPr>
        <w:tab/>
      </w:r>
      <w:r w:rsidR="007F0632" w:rsidRPr="00AE79A8">
        <w:rPr>
          <w:b w:val="0"/>
          <w:sz w:val="22"/>
          <w:szCs w:val="22"/>
        </w:rPr>
        <w:tab/>
      </w:r>
      <w:r w:rsidRPr="00AE79A8">
        <w:rPr>
          <w:b w:val="0"/>
          <w:sz w:val="22"/>
          <w:szCs w:val="22"/>
        </w:rPr>
        <w:t>______</w:t>
      </w:r>
      <w:r w:rsidRPr="00AE79A8">
        <w:rPr>
          <w:b w:val="0"/>
          <w:sz w:val="22"/>
          <w:szCs w:val="22"/>
        </w:rPr>
        <w:tab/>
      </w:r>
      <w:r w:rsidRPr="00AE79A8">
        <w:rPr>
          <w:b w:val="0"/>
          <w:sz w:val="22"/>
          <w:szCs w:val="22"/>
        </w:rPr>
        <w:tab/>
      </w:r>
      <w:r w:rsidRPr="00AE79A8">
        <w:rPr>
          <w:b w:val="0"/>
          <w:sz w:val="22"/>
          <w:szCs w:val="22"/>
        </w:rPr>
        <w:tab/>
        <w:t xml:space="preserve">     </w:t>
      </w:r>
      <w:r w:rsidR="005A1501" w:rsidRPr="00AE79A8">
        <w:rPr>
          <w:b w:val="0"/>
          <w:sz w:val="22"/>
          <w:szCs w:val="22"/>
        </w:rPr>
        <w:t xml:space="preserve">   </w:t>
      </w:r>
      <w:r w:rsidRPr="00AE79A8">
        <w:rPr>
          <w:b w:val="0"/>
          <w:sz w:val="22"/>
          <w:szCs w:val="22"/>
        </w:rPr>
        <w:t xml:space="preserve">  </w:t>
      </w:r>
      <w:r w:rsidR="00654FB6" w:rsidRPr="00AE79A8">
        <w:rPr>
          <w:b w:val="0"/>
          <w:sz w:val="22"/>
          <w:szCs w:val="22"/>
        </w:rPr>
        <w:t xml:space="preserve">     </w:t>
      </w:r>
      <w:r w:rsidR="00913701" w:rsidRPr="00AE79A8">
        <w:rPr>
          <w:b w:val="0"/>
          <w:sz w:val="22"/>
          <w:szCs w:val="22"/>
        </w:rPr>
        <w:t xml:space="preserve">        </w:t>
      </w:r>
      <w:r w:rsidR="004136DF" w:rsidRPr="00AE79A8">
        <w:rPr>
          <w:b w:val="0"/>
          <w:sz w:val="22"/>
          <w:szCs w:val="22"/>
        </w:rPr>
        <w:tab/>
      </w:r>
      <w:r w:rsidR="00654FB6" w:rsidRPr="00AE79A8">
        <w:rPr>
          <w:b w:val="0"/>
          <w:sz w:val="22"/>
          <w:szCs w:val="22"/>
        </w:rPr>
        <w:t>______</w:t>
      </w:r>
      <w:r w:rsidR="00654FB6" w:rsidRPr="00AE79A8">
        <w:rPr>
          <w:b w:val="0"/>
          <w:sz w:val="22"/>
          <w:szCs w:val="22"/>
        </w:rPr>
        <w:tab/>
        <w:t xml:space="preserve">  </w:t>
      </w:r>
      <w:r w:rsidR="005A1501" w:rsidRPr="00AE79A8">
        <w:rPr>
          <w:b w:val="0"/>
          <w:sz w:val="22"/>
          <w:szCs w:val="22"/>
        </w:rPr>
        <w:t xml:space="preserve">     </w:t>
      </w:r>
      <w:r w:rsidR="001562B3" w:rsidRPr="00AE79A8">
        <w:rPr>
          <w:b w:val="0"/>
          <w:sz w:val="22"/>
          <w:szCs w:val="22"/>
        </w:rPr>
        <w:t xml:space="preserve">    </w:t>
      </w:r>
      <w:r w:rsidR="00654FB6" w:rsidRPr="00AE79A8">
        <w:rPr>
          <w:b w:val="0"/>
          <w:sz w:val="22"/>
          <w:szCs w:val="22"/>
        </w:rPr>
        <w:t xml:space="preserve"> _______</w:t>
      </w:r>
    </w:p>
    <w:p w:rsidR="00696473" w:rsidRPr="00AE79A8" w:rsidRDefault="00036892" w:rsidP="00E41BF9">
      <w:pPr>
        <w:rPr>
          <w:b w:val="0"/>
          <w:sz w:val="22"/>
          <w:szCs w:val="22"/>
        </w:rPr>
      </w:pPr>
      <w:r w:rsidRPr="00AE79A8">
        <w:rPr>
          <w:b w:val="0"/>
          <w:sz w:val="22"/>
          <w:szCs w:val="22"/>
        </w:rPr>
        <w:tab/>
      </w:r>
      <w:r w:rsidRPr="00AE79A8">
        <w:rPr>
          <w:b w:val="0"/>
          <w:sz w:val="22"/>
          <w:szCs w:val="22"/>
        </w:rPr>
        <w:tab/>
      </w:r>
      <w:r w:rsidRPr="00AE79A8">
        <w:rPr>
          <w:b w:val="0"/>
          <w:sz w:val="22"/>
          <w:szCs w:val="22"/>
        </w:rPr>
        <w:tab/>
        <w:t xml:space="preserve">      </w:t>
      </w:r>
      <w:r w:rsidR="001A6867" w:rsidRPr="00AE79A8">
        <w:rPr>
          <w:b w:val="0"/>
          <w:sz w:val="22"/>
          <w:szCs w:val="22"/>
        </w:rPr>
        <w:tab/>
      </w:r>
      <w:r w:rsidRPr="00AE79A8">
        <w:rPr>
          <w:b w:val="0"/>
          <w:sz w:val="22"/>
          <w:szCs w:val="22"/>
        </w:rPr>
        <w:t xml:space="preserve">     </w:t>
      </w:r>
      <w:r w:rsidR="001A6867" w:rsidRPr="00AE79A8">
        <w:rPr>
          <w:b w:val="0"/>
          <w:sz w:val="22"/>
          <w:szCs w:val="22"/>
        </w:rPr>
        <w:tab/>
      </w:r>
      <w:r w:rsidR="007F0632" w:rsidRPr="00AE79A8">
        <w:rPr>
          <w:b w:val="0"/>
          <w:sz w:val="22"/>
          <w:szCs w:val="22"/>
        </w:rPr>
        <w:tab/>
      </w:r>
      <w:r w:rsidR="001562B3" w:rsidRPr="00AE79A8">
        <w:rPr>
          <w:b w:val="0"/>
          <w:sz w:val="22"/>
          <w:szCs w:val="22"/>
        </w:rPr>
        <w:t>228,780</w:t>
      </w:r>
      <w:r w:rsidRPr="00AE79A8">
        <w:rPr>
          <w:b w:val="0"/>
          <w:sz w:val="22"/>
          <w:szCs w:val="22"/>
        </w:rPr>
        <w:tab/>
      </w:r>
      <w:r w:rsidRPr="00AE79A8">
        <w:rPr>
          <w:b w:val="0"/>
          <w:sz w:val="22"/>
          <w:szCs w:val="22"/>
        </w:rPr>
        <w:tab/>
      </w:r>
      <w:r w:rsidR="005A1501" w:rsidRPr="00AE79A8">
        <w:rPr>
          <w:b w:val="0"/>
          <w:sz w:val="22"/>
          <w:szCs w:val="22"/>
        </w:rPr>
        <w:tab/>
      </w:r>
      <w:r w:rsidR="005A1501" w:rsidRPr="00AE79A8">
        <w:rPr>
          <w:b w:val="0"/>
          <w:sz w:val="22"/>
          <w:szCs w:val="22"/>
        </w:rPr>
        <w:tab/>
      </w:r>
      <w:r w:rsidR="0087172F" w:rsidRPr="00AE79A8">
        <w:rPr>
          <w:b w:val="0"/>
          <w:sz w:val="22"/>
          <w:szCs w:val="22"/>
        </w:rPr>
        <w:t xml:space="preserve">          </w:t>
      </w:r>
      <w:r w:rsidR="00913701" w:rsidRPr="00AE79A8">
        <w:rPr>
          <w:b w:val="0"/>
          <w:sz w:val="22"/>
          <w:szCs w:val="22"/>
        </w:rPr>
        <w:t xml:space="preserve"> </w:t>
      </w:r>
      <w:r w:rsidR="0087172F" w:rsidRPr="00AE79A8">
        <w:rPr>
          <w:b w:val="0"/>
          <w:sz w:val="22"/>
          <w:szCs w:val="22"/>
        </w:rPr>
        <w:t xml:space="preserve"> </w:t>
      </w:r>
      <w:r w:rsidR="002D2918" w:rsidRPr="00AE79A8">
        <w:rPr>
          <w:b w:val="0"/>
          <w:sz w:val="22"/>
          <w:szCs w:val="22"/>
        </w:rPr>
        <w:tab/>
      </w:r>
      <w:r w:rsidR="00FF622B" w:rsidRPr="00AE79A8">
        <w:rPr>
          <w:b w:val="0"/>
          <w:sz w:val="22"/>
          <w:szCs w:val="22"/>
        </w:rPr>
        <w:t>2</w:t>
      </w:r>
      <w:r w:rsidR="00900B54" w:rsidRPr="00AE79A8">
        <w:rPr>
          <w:b w:val="0"/>
          <w:sz w:val="22"/>
          <w:szCs w:val="22"/>
        </w:rPr>
        <w:t>2</w:t>
      </w:r>
      <w:r w:rsidR="00FC4C46" w:rsidRPr="00AE79A8">
        <w:rPr>
          <w:b w:val="0"/>
          <w:sz w:val="22"/>
          <w:szCs w:val="22"/>
        </w:rPr>
        <w:t>4</w:t>
      </w:r>
      <w:r w:rsidR="00FF622B" w:rsidRPr="00AE79A8">
        <w:rPr>
          <w:b w:val="0"/>
          <w:sz w:val="22"/>
          <w:szCs w:val="22"/>
        </w:rPr>
        <w:t>,</w:t>
      </w:r>
      <w:r w:rsidR="00FC4C46" w:rsidRPr="00AE79A8">
        <w:rPr>
          <w:b w:val="0"/>
          <w:sz w:val="22"/>
          <w:szCs w:val="22"/>
        </w:rPr>
        <w:t>552</w:t>
      </w:r>
      <w:r w:rsidR="002D2918" w:rsidRPr="00AE79A8">
        <w:rPr>
          <w:b w:val="0"/>
          <w:sz w:val="22"/>
          <w:szCs w:val="22"/>
        </w:rPr>
        <w:tab/>
      </w:r>
      <w:r w:rsidRPr="00AE79A8">
        <w:rPr>
          <w:b w:val="0"/>
          <w:sz w:val="22"/>
          <w:szCs w:val="22"/>
        </w:rPr>
        <w:t xml:space="preserve">        </w:t>
      </w:r>
      <w:r w:rsidR="005A1501" w:rsidRPr="00AE79A8">
        <w:rPr>
          <w:b w:val="0"/>
          <w:sz w:val="22"/>
          <w:szCs w:val="22"/>
        </w:rPr>
        <w:t xml:space="preserve">    </w:t>
      </w:r>
      <w:r w:rsidRPr="00AE79A8">
        <w:rPr>
          <w:b w:val="0"/>
          <w:sz w:val="22"/>
          <w:szCs w:val="22"/>
        </w:rPr>
        <w:t xml:space="preserve"> </w:t>
      </w:r>
      <w:r w:rsidR="00FC4C46" w:rsidRPr="00AE79A8">
        <w:rPr>
          <w:b w:val="0"/>
          <w:sz w:val="22"/>
          <w:szCs w:val="22"/>
        </w:rPr>
        <w:t>4</w:t>
      </w:r>
      <w:r w:rsidR="00FF622B" w:rsidRPr="00AE79A8">
        <w:rPr>
          <w:b w:val="0"/>
          <w:sz w:val="22"/>
          <w:szCs w:val="22"/>
        </w:rPr>
        <w:t>,</w:t>
      </w:r>
      <w:r w:rsidR="00FC4C46" w:rsidRPr="00AE79A8">
        <w:rPr>
          <w:b w:val="0"/>
          <w:sz w:val="22"/>
          <w:szCs w:val="22"/>
        </w:rPr>
        <w:t>228</w:t>
      </w:r>
    </w:p>
    <w:p w:rsidR="00CA56BE" w:rsidRPr="00AE79A8" w:rsidRDefault="002C7B85" w:rsidP="00E41BF9">
      <w:pPr>
        <w:rPr>
          <w:b w:val="0"/>
          <w:sz w:val="22"/>
          <w:szCs w:val="22"/>
        </w:rPr>
      </w:pPr>
      <w:r w:rsidRPr="00AE79A8">
        <w:rPr>
          <w:b w:val="0"/>
          <w:sz w:val="22"/>
          <w:szCs w:val="22"/>
        </w:rPr>
        <w:tab/>
      </w:r>
      <w:r w:rsidR="00036892" w:rsidRPr="00AE79A8">
        <w:rPr>
          <w:b w:val="0"/>
          <w:sz w:val="22"/>
          <w:szCs w:val="22"/>
        </w:rPr>
        <w:tab/>
      </w:r>
      <w:r w:rsidR="00036892" w:rsidRPr="00AE79A8">
        <w:rPr>
          <w:b w:val="0"/>
          <w:sz w:val="22"/>
          <w:szCs w:val="22"/>
        </w:rPr>
        <w:tab/>
      </w:r>
      <w:r w:rsidR="00036892" w:rsidRPr="00AE79A8">
        <w:rPr>
          <w:b w:val="0"/>
          <w:sz w:val="22"/>
          <w:szCs w:val="22"/>
        </w:rPr>
        <w:tab/>
        <w:t xml:space="preserve">        </w:t>
      </w:r>
      <w:r w:rsidR="001A6867" w:rsidRPr="00AE79A8">
        <w:rPr>
          <w:b w:val="0"/>
          <w:sz w:val="22"/>
          <w:szCs w:val="22"/>
        </w:rPr>
        <w:t xml:space="preserve">               </w:t>
      </w:r>
      <w:r w:rsidR="00036892" w:rsidRPr="00AE79A8">
        <w:rPr>
          <w:b w:val="0"/>
          <w:sz w:val="22"/>
          <w:szCs w:val="22"/>
        </w:rPr>
        <w:t xml:space="preserve">   ______</w:t>
      </w:r>
      <w:r w:rsidR="00036892" w:rsidRPr="00AE79A8">
        <w:rPr>
          <w:b w:val="0"/>
          <w:sz w:val="22"/>
          <w:szCs w:val="22"/>
        </w:rPr>
        <w:tab/>
      </w:r>
      <w:r w:rsidR="00036892" w:rsidRPr="00AE79A8">
        <w:rPr>
          <w:b w:val="0"/>
          <w:sz w:val="22"/>
          <w:szCs w:val="22"/>
        </w:rPr>
        <w:tab/>
      </w:r>
      <w:r w:rsidR="00036892" w:rsidRPr="00AE79A8">
        <w:rPr>
          <w:b w:val="0"/>
          <w:sz w:val="22"/>
          <w:szCs w:val="22"/>
        </w:rPr>
        <w:tab/>
        <w:t xml:space="preserve">       </w:t>
      </w:r>
      <w:r w:rsidR="005A1501" w:rsidRPr="00AE79A8">
        <w:rPr>
          <w:b w:val="0"/>
          <w:sz w:val="22"/>
          <w:szCs w:val="22"/>
        </w:rPr>
        <w:t xml:space="preserve">       </w:t>
      </w:r>
      <w:r w:rsidR="007D486C" w:rsidRPr="00AE79A8">
        <w:rPr>
          <w:b w:val="0"/>
          <w:sz w:val="22"/>
          <w:szCs w:val="22"/>
        </w:rPr>
        <w:t xml:space="preserve">            </w:t>
      </w:r>
      <w:r w:rsidR="005A1501" w:rsidRPr="00AE79A8">
        <w:rPr>
          <w:b w:val="0"/>
          <w:sz w:val="22"/>
          <w:szCs w:val="22"/>
        </w:rPr>
        <w:t xml:space="preserve"> ______ </w:t>
      </w:r>
      <w:r w:rsidR="00036892" w:rsidRPr="00AE79A8">
        <w:rPr>
          <w:b w:val="0"/>
          <w:sz w:val="22"/>
          <w:szCs w:val="22"/>
        </w:rPr>
        <w:t xml:space="preserve">  </w:t>
      </w:r>
      <w:r w:rsidR="005A1501" w:rsidRPr="00AE79A8">
        <w:rPr>
          <w:b w:val="0"/>
          <w:sz w:val="22"/>
          <w:szCs w:val="22"/>
        </w:rPr>
        <w:t xml:space="preserve">      </w:t>
      </w:r>
      <w:r w:rsidR="001562B3" w:rsidRPr="00AE79A8">
        <w:rPr>
          <w:b w:val="0"/>
          <w:sz w:val="22"/>
          <w:szCs w:val="22"/>
        </w:rPr>
        <w:t xml:space="preserve">  </w:t>
      </w:r>
      <w:r w:rsidR="00036892" w:rsidRPr="00AE79A8">
        <w:rPr>
          <w:b w:val="0"/>
          <w:sz w:val="22"/>
          <w:szCs w:val="22"/>
        </w:rPr>
        <w:t xml:space="preserve"> _______</w:t>
      </w:r>
      <w:r w:rsidR="00036892" w:rsidRPr="00AE79A8">
        <w:rPr>
          <w:b w:val="0"/>
          <w:sz w:val="22"/>
          <w:szCs w:val="22"/>
        </w:rPr>
        <w:tab/>
      </w:r>
    </w:p>
    <w:p w:rsidR="004A372E" w:rsidRPr="00FA5D4B" w:rsidRDefault="004A372E" w:rsidP="00E41BF9">
      <w:pPr>
        <w:rPr>
          <w:b w:val="0"/>
          <w:sz w:val="24"/>
          <w:szCs w:val="24"/>
        </w:rPr>
      </w:pPr>
    </w:p>
    <w:p w:rsidR="008D0E18" w:rsidRPr="00FA5D4B" w:rsidRDefault="008D0E18" w:rsidP="00E41BF9">
      <w:pPr>
        <w:rPr>
          <w:sz w:val="24"/>
          <w:szCs w:val="24"/>
        </w:rPr>
      </w:pPr>
      <w:r w:rsidRPr="00FA5D4B">
        <w:rPr>
          <w:sz w:val="24"/>
          <w:szCs w:val="24"/>
        </w:rPr>
        <w:t>Private Placement Exercise</w:t>
      </w:r>
      <w:r w:rsidR="001A6867" w:rsidRPr="00FA5D4B">
        <w:rPr>
          <w:sz w:val="24"/>
          <w:szCs w:val="24"/>
        </w:rPr>
        <w:t>:</w:t>
      </w:r>
    </w:p>
    <w:p w:rsidR="008D0E18" w:rsidRPr="00FA5D4B" w:rsidRDefault="008D0E18" w:rsidP="00E41BF9">
      <w:pPr>
        <w:rPr>
          <w:sz w:val="24"/>
          <w:szCs w:val="24"/>
        </w:rPr>
      </w:pPr>
    </w:p>
    <w:p w:rsidR="008D0E18" w:rsidRPr="00FA5D4B" w:rsidRDefault="008400DC" w:rsidP="00E41BF9">
      <w:pPr>
        <w:rPr>
          <w:b w:val="0"/>
          <w:sz w:val="24"/>
          <w:szCs w:val="24"/>
        </w:rPr>
      </w:pPr>
      <w:r w:rsidRPr="00FA5D4B">
        <w:rPr>
          <w:b w:val="0"/>
          <w:sz w:val="24"/>
          <w:szCs w:val="24"/>
        </w:rPr>
        <w:t xml:space="preserve">The </w:t>
      </w:r>
      <w:r w:rsidR="0072326B" w:rsidRPr="00FA5D4B">
        <w:rPr>
          <w:b w:val="0"/>
          <w:sz w:val="24"/>
          <w:szCs w:val="24"/>
        </w:rPr>
        <w:t xml:space="preserve">remaining </w:t>
      </w:r>
      <w:r w:rsidRPr="00FA5D4B">
        <w:rPr>
          <w:b w:val="0"/>
          <w:sz w:val="24"/>
          <w:szCs w:val="24"/>
        </w:rPr>
        <w:t xml:space="preserve">allocation of </w:t>
      </w:r>
      <w:r w:rsidR="001A6867" w:rsidRPr="00FA5D4B">
        <w:rPr>
          <w:b w:val="0"/>
          <w:sz w:val="24"/>
          <w:szCs w:val="24"/>
        </w:rPr>
        <w:t xml:space="preserve">RM 5.0 million </w:t>
      </w:r>
      <w:r w:rsidR="00403A2A" w:rsidRPr="00FA5D4B">
        <w:rPr>
          <w:b w:val="0"/>
          <w:sz w:val="24"/>
          <w:szCs w:val="24"/>
        </w:rPr>
        <w:t xml:space="preserve">for the </w:t>
      </w:r>
      <w:proofErr w:type="gramStart"/>
      <w:r w:rsidR="00403A2A" w:rsidRPr="00FA5D4B">
        <w:rPr>
          <w:b w:val="0"/>
          <w:sz w:val="24"/>
          <w:szCs w:val="24"/>
        </w:rPr>
        <w:t>food</w:t>
      </w:r>
      <w:r w:rsidR="00E05359" w:rsidRPr="00FA5D4B">
        <w:rPr>
          <w:b w:val="0"/>
          <w:sz w:val="24"/>
          <w:szCs w:val="24"/>
        </w:rPr>
        <w:t xml:space="preserve"> </w:t>
      </w:r>
      <w:r w:rsidR="00403A2A" w:rsidRPr="00FA5D4B">
        <w:rPr>
          <w:b w:val="0"/>
          <w:sz w:val="24"/>
          <w:szCs w:val="24"/>
        </w:rPr>
        <w:t xml:space="preserve"> processing</w:t>
      </w:r>
      <w:proofErr w:type="gramEnd"/>
      <w:r w:rsidR="00403A2A" w:rsidRPr="00FA5D4B">
        <w:rPr>
          <w:b w:val="0"/>
          <w:sz w:val="24"/>
          <w:szCs w:val="24"/>
        </w:rPr>
        <w:t xml:space="preserve"> factory</w:t>
      </w:r>
      <w:r w:rsidRPr="00FA5D4B">
        <w:rPr>
          <w:b w:val="0"/>
          <w:sz w:val="24"/>
          <w:szCs w:val="24"/>
        </w:rPr>
        <w:t xml:space="preserve"> has been fully </w:t>
      </w:r>
      <w:proofErr w:type="spellStart"/>
      <w:r w:rsidRPr="00FA5D4B">
        <w:rPr>
          <w:b w:val="0"/>
          <w:sz w:val="24"/>
          <w:szCs w:val="24"/>
        </w:rPr>
        <w:t>utilised</w:t>
      </w:r>
      <w:proofErr w:type="spellEnd"/>
      <w:r w:rsidR="00403A2A" w:rsidRPr="00FA5D4B">
        <w:rPr>
          <w:b w:val="0"/>
          <w:sz w:val="24"/>
          <w:szCs w:val="24"/>
        </w:rPr>
        <w:t>.</w:t>
      </w:r>
    </w:p>
    <w:p w:rsidR="006E70CE" w:rsidRPr="00FA5D4B" w:rsidRDefault="006E70CE" w:rsidP="00E41BF9">
      <w:pPr>
        <w:rPr>
          <w:b w:val="0"/>
          <w:sz w:val="24"/>
          <w:szCs w:val="24"/>
        </w:rPr>
      </w:pPr>
    </w:p>
    <w:p w:rsidR="00C62D68" w:rsidRPr="00FA5D4B" w:rsidRDefault="00C62D68" w:rsidP="00E41BF9">
      <w:pPr>
        <w:rPr>
          <w:b w:val="0"/>
          <w:sz w:val="24"/>
          <w:szCs w:val="24"/>
        </w:rPr>
      </w:pPr>
    </w:p>
    <w:p w:rsidR="00A67AE6" w:rsidRPr="00FA5D4B" w:rsidRDefault="0077577D" w:rsidP="00E41BF9">
      <w:pPr>
        <w:rPr>
          <w:b w:val="0"/>
          <w:sz w:val="24"/>
          <w:szCs w:val="24"/>
        </w:rPr>
      </w:pPr>
      <w:r>
        <w:rPr>
          <w:b w:val="0"/>
          <w:noProof/>
          <w:sz w:val="24"/>
          <w:szCs w:val="24"/>
        </w:rPr>
        <w:pict>
          <v:shape id="_x0000_s1103" type="#_x0000_t202" style="position:absolute;margin-left:233.25pt;margin-top:35.65pt;width:25.5pt;height:19.5pt;z-index:251658240" stroked="f">
            <v:textbox style="mso-next-textbox:#_x0000_s1103">
              <w:txbxContent>
                <w:p w:rsidR="008A05D9" w:rsidRPr="009E185F" w:rsidRDefault="008A05D9" w:rsidP="00E41BF9"/>
              </w:txbxContent>
            </v:textbox>
          </v:shape>
        </w:pict>
      </w:r>
      <w:r w:rsidR="00A67AE6" w:rsidRPr="00FA5D4B">
        <w:rPr>
          <w:b w:val="0"/>
          <w:sz w:val="24"/>
          <w:szCs w:val="24"/>
        </w:rPr>
        <w:t>By Order of the Board</w:t>
      </w:r>
      <w:r w:rsidR="00295450" w:rsidRPr="00FA5D4B">
        <w:rPr>
          <w:b w:val="0"/>
          <w:sz w:val="24"/>
          <w:szCs w:val="24"/>
        </w:rPr>
        <w:t xml:space="preserve"> </w:t>
      </w:r>
    </w:p>
    <w:p w:rsidR="00E83530" w:rsidRPr="00FA5D4B" w:rsidRDefault="00E83530" w:rsidP="00E41BF9">
      <w:pPr>
        <w:rPr>
          <w:b w:val="0"/>
          <w:sz w:val="24"/>
          <w:szCs w:val="24"/>
        </w:rPr>
      </w:pPr>
    </w:p>
    <w:p w:rsidR="00193463" w:rsidRPr="00FA5D4B" w:rsidRDefault="00193463" w:rsidP="00E41BF9">
      <w:pPr>
        <w:rPr>
          <w:b w:val="0"/>
          <w:sz w:val="24"/>
          <w:szCs w:val="24"/>
        </w:rPr>
      </w:pPr>
    </w:p>
    <w:p w:rsidR="00A67AE6" w:rsidRPr="00FA5D4B" w:rsidRDefault="00A67AE6" w:rsidP="00E41BF9">
      <w:pPr>
        <w:rPr>
          <w:b w:val="0"/>
          <w:sz w:val="24"/>
          <w:szCs w:val="24"/>
        </w:rPr>
      </w:pPr>
      <w:r w:rsidRPr="00FA5D4B">
        <w:rPr>
          <w:b w:val="0"/>
          <w:sz w:val="24"/>
          <w:szCs w:val="24"/>
        </w:rPr>
        <w:t xml:space="preserve">Chin </w:t>
      </w:r>
      <w:proofErr w:type="spellStart"/>
      <w:r w:rsidRPr="00FA5D4B">
        <w:rPr>
          <w:b w:val="0"/>
          <w:sz w:val="24"/>
          <w:szCs w:val="24"/>
        </w:rPr>
        <w:t>Siew</w:t>
      </w:r>
      <w:proofErr w:type="spellEnd"/>
      <w:r w:rsidRPr="00FA5D4B">
        <w:rPr>
          <w:b w:val="0"/>
          <w:sz w:val="24"/>
          <w:szCs w:val="24"/>
        </w:rPr>
        <w:t xml:space="preserve"> Kim</w:t>
      </w:r>
    </w:p>
    <w:p w:rsidR="005304FB" w:rsidRPr="00FA5D4B" w:rsidRDefault="00BA09A5" w:rsidP="00E41BF9">
      <w:pPr>
        <w:rPr>
          <w:b w:val="0"/>
          <w:sz w:val="24"/>
          <w:szCs w:val="24"/>
        </w:rPr>
      </w:pPr>
      <w:r w:rsidRPr="00FA5D4B">
        <w:rPr>
          <w:b w:val="0"/>
          <w:sz w:val="24"/>
          <w:szCs w:val="24"/>
        </w:rPr>
        <w:t xml:space="preserve">Company </w:t>
      </w:r>
      <w:r w:rsidR="00A67AE6" w:rsidRPr="00FA5D4B">
        <w:rPr>
          <w:b w:val="0"/>
          <w:sz w:val="24"/>
          <w:szCs w:val="24"/>
        </w:rPr>
        <w:t>Secretary</w:t>
      </w:r>
    </w:p>
    <w:p w:rsidR="00E83530" w:rsidRPr="00FA5D4B" w:rsidRDefault="00E83530" w:rsidP="00E41BF9">
      <w:pPr>
        <w:rPr>
          <w:b w:val="0"/>
          <w:sz w:val="24"/>
          <w:szCs w:val="24"/>
        </w:rPr>
      </w:pPr>
    </w:p>
    <w:p w:rsidR="00C62D68" w:rsidRPr="00FA5D4B" w:rsidRDefault="00C62D68" w:rsidP="00E41BF9">
      <w:pPr>
        <w:rPr>
          <w:b w:val="0"/>
          <w:sz w:val="24"/>
          <w:szCs w:val="24"/>
        </w:rPr>
      </w:pPr>
    </w:p>
    <w:p w:rsidR="00CF4AD2" w:rsidRPr="00FA5D4B" w:rsidRDefault="00DF7530" w:rsidP="00E41BF9">
      <w:pPr>
        <w:rPr>
          <w:b w:val="0"/>
          <w:sz w:val="24"/>
          <w:szCs w:val="24"/>
        </w:rPr>
      </w:pPr>
      <w:r w:rsidRPr="00FA5D4B">
        <w:rPr>
          <w:b w:val="0"/>
          <w:sz w:val="24"/>
          <w:szCs w:val="24"/>
        </w:rPr>
        <w:t>28</w:t>
      </w:r>
      <w:r w:rsidR="0046062D" w:rsidRPr="00FA5D4B">
        <w:rPr>
          <w:b w:val="0"/>
          <w:sz w:val="24"/>
          <w:szCs w:val="24"/>
        </w:rPr>
        <w:t xml:space="preserve"> </w:t>
      </w:r>
      <w:r w:rsidR="0002215D" w:rsidRPr="00FA5D4B">
        <w:rPr>
          <w:b w:val="0"/>
          <w:sz w:val="24"/>
          <w:szCs w:val="24"/>
        </w:rPr>
        <w:t>December</w:t>
      </w:r>
      <w:r w:rsidR="00B12D07" w:rsidRPr="00FA5D4B">
        <w:rPr>
          <w:b w:val="0"/>
          <w:sz w:val="24"/>
          <w:szCs w:val="24"/>
        </w:rPr>
        <w:t xml:space="preserve"> 201</w:t>
      </w:r>
      <w:r w:rsidR="00DF5EF7" w:rsidRPr="00FA5D4B">
        <w:rPr>
          <w:b w:val="0"/>
          <w:sz w:val="24"/>
          <w:szCs w:val="24"/>
        </w:rPr>
        <w:t>7</w:t>
      </w:r>
      <w:r w:rsidR="00193463" w:rsidRPr="00FA5D4B">
        <w:rPr>
          <w:b w:val="0"/>
          <w:sz w:val="24"/>
          <w:szCs w:val="24"/>
        </w:rPr>
        <w:tab/>
      </w:r>
      <w:r w:rsidR="00193463" w:rsidRPr="00FA5D4B">
        <w:rPr>
          <w:b w:val="0"/>
          <w:sz w:val="24"/>
          <w:szCs w:val="24"/>
        </w:rPr>
        <w:tab/>
      </w:r>
      <w:r w:rsidR="00193463" w:rsidRPr="00FA5D4B">
        <w:rPr>
          <w:b w:val="0"/>
          <w:sz w:val="24"/>
          <w:szCs w:val="24"/>
        </w:rPr>
        <w:tab/>
      </w:r>
      <w:r w:rsidR="00193463" w:rsidRPr="00FA5D4B">
        <w:rPr>
          <w:b w:val="0"/>
          <w:sz w:val="24"/>
          <w:szCs w:val="24"/>
        </w:rPr>
        <w:tab/>
      </w:r>
      <w:r w:rsidR="00193463" w:rsidRPr="00FA5D4B">
        <w:rPr>
          <w:b w:val="0"/>
          <w:sz w:val="24"/>
          <w:szCs w:val="24"/>
        </w:rPr>
        <w:tab/>
      </w:r>
      <w:r w:rsidR="001A6616" w:rsidRPr="00FA5D4B">
        <w:rPr>
          <w:b w:val="0"/>
          <w:sz w:val="24"/>
          <w:szCs w:val="24"/>
        </w:rPr>
        <w:t xml:space="preserve"> </w:t>
      </w:r>
    </w:p>
    <w:p w:rsidR="00C62D68" w:rsidRPr="00AE79A8" w:rsidRDefault="007B364D" w:rsidP="00AE79A8">
      <w:pPr>
        <w:jc w:val="center"/>
        <w:rPr>
          <w:b w:val="0"/>
          <w:sz w:val="20"/>
          <w:szCs w:val="20"/>
        </w:rPr>
      </w:pPr>
      <w:r w:rsidRPr="00AE79A8">
        <w:rPr>
          <w:b w:val="0"/>
          <w:sz w:val="20"/>
          <w:szCs w:val="20"/>
        </w:rPr>
        <w:t>15</w:t>
      </w:r>
    </w:p>
    <w:sectPr w:rsidR="00C62D68" w:rsidRPr="00AE79A8" w:rsidSect="00E67AAD">
      <w:headerReference w:type="default" r:id="rId35"/>
      <w:footerReference w:type="default" r:id="rId36"/>
      <w:pgSz w:w="11909" w:h="16834" w:code="9"/>
      <w:pgMar w:top="720" w:right="720" w:bottom="720" w:left="72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54F" w:rsidRPr="00517955" w:rsidRDefault="009E054F" w:rsidP="00E41BF9">
      <w:r w:rsidRPr="00517955">
        <w:separator/>
      </w:r>
    </w:p>
    <w:p w:rsidR="009E054F" w:rsidRDefault="009E054F" w:rsidP="00E41BF9"/>
  </w:endnote>
  <w:endnote w:type="continuationSeparator" w:id="1">
    <w:p w:rsidR="009E054F" w:rsidRPr="00517955" w:rsidRDefault="009E054F" w:rsidP="00E41BF9">
      <w:r w:rsidRPr="00517955">
        <w:continuationSeparator/>
      </w:r>
    </w:p>
    <w:p w:rsidR="009E054F" w:rsidRDefault="009E054F" w:rsidP="00E41B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Pr="00517955" w:rsidRDefault="00067E44" w:rsidP="00FA5D4B">
    <w:pPr>
      <w:pStyle w:val="Footer"/>
      <w:jc w:val="center"/>
    </w:pPr>
    <w: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Default="00067E44" w:rsidP="00FA5D4B">
    <w:pPr>
      <w:pStyle w:val="Footer"/>
      <w:jc w:val="center"/>
    </w:pPr>
    <w: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Pr="00FA5D4B" w:rsidRDefault="00E67AAD" w:rsidP="00FA5D4B">
    <w:pPr>
      <w:pStyle w:val="Footer"/>
      <w:ind w:left="-90"/>
      <w:rPr>
        <w:sz w:val="22"/>
        <w:szCs w:val="22"/>
      </w:rPr>
    </w:pPr>
    <w:r w:rsidRPr="00FA5D4B">
      <w:rPr>
        <w:sz w:val="22"/>
        <w:szCs w:val="22"/>
      </w:rPr>
      <w:t>T he condensed consolidated statements of changes in equity should be read in conjunction with the audited financial statements for the year ended 31 January 2017 and the explanatory notes attached to the interim financial statements.</w:t>
    </w:r>
  </w:p>
  <w:p w:rsidR="00E67AAD" w:rsidRPr="00517955" w:rsidRDefault="00E67AAD" w:rsidP="00E67AAD">
    <w:pPr>
      <w:pStyle w:val="Footer"/>
      <w:jc w:val="center"/>
    </w:pPr>
    <w: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AD" w:rsidRDefault="00B84DA9">
    <w:pPr>
      <w:pStyle w:val="Footer"/>
    </w:pPr>
    <w:r>
      <w:t xml:space="preserve"> </w:t>
    </w:r>
  </w:p>
  <w:p w:rsidR="00067E44" w:rsidRPr="00517955" w:rsidRDefault="005A6347" w:rsidP="005A6347">
    <w:pPr>
      <w:pStyle w:val="Footer"/>
      <w:tabs>
        <w:tab w:val="clear" w:pos="4320"/>
        <w:tab w:val="center" w:pos="495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54F" w:rsidRPr="00517955" w:rsidRDefault="009E054F" w:rsidP="00E41BF9">
      <w:r w:rsidRPr="00517955">
        <w:separator/>
      </w:r>
    </w:p>
    <w:p w:rsidR="009E054F" w:rsidRDefault="009E054F" w:rsidP="00E41BF9"/>
  </w:footnote>
  <w:footnote w:type="continuationSeparator" w:id="1">
    <w:p w:rsidR="009E054F" w:rsidRPr="00517955" w:rsidRDefault="009E054F" w:rsidP="00E41BF9">
      <w:r w:rsidRPr="00517955">
        <w:continuationSeparator/>
      </w:r>
    </w:p>
    <w:p w:rsidR="009E054F" w:rsidRDefault="009E054F" w:rsidP="00E41B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D" w:rsidRDefault="00C51A7D" w:rsidP="00E41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D" w:rsidRDefault="00C51A7D" w:rsidP="00E41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Default="00067E44" w:rsidP="00E41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A0EFC"/>
    <w:multiLevelType w:val="hybridMultilevel"/>
    <w:tmpl w:val="539CEE98"/>
    <w:lvl w:ilvl="0" w:tplc="59C2F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A933C4"/>
    <w:multiLevelType w:val="hybridMultilevel"/>
    <w:tmpl w:val="22940922"/>
    <w:lvl w:ilvl="0" w:tplc="20104A8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6D3E4418"/>
    <w:multiLevelType w:val="hybridMultilevel"/>
    <w:tmpl w:val="C5501F78"/>
    <w:lvl w:ilvl="0" w:tplc="A0E60C9A">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drawingGridHorizontalSpacing w:val="211"/>
  <w:noPunctuationKerning/>
  <w:characterSpacingControl w:val="doNotCompress"/>
  <w:hdrShapeDefaults>
    <o:shapedefaults v:ext="edit" spidmax="54273"/>
  </w:hdrShapeDefaults>
  <w:footnotePr>
    <w:footnote w:id="0"/>
    <w:footnote w:id="1"/>
  </w:footnotePr>
  <w:endnotePr>
    <w:endnote w:id="0"/>
    <w:endnote w:id="1"/>
  </w:endnotePr>
  <w:compat>
    <w:useFELayout/>
  </w:compat>
  <w:docVars>
    <w:docVar w:name="AO" w:val=" "/>
  </w:docVars>
  <w:rsids>
    <w:rsidRoot w:val="00CB0137"/>
    <w:rsid w:val="000011A2"/>
    <w:rsid w:val="00001371"/>
    <w:rsid w:val="00001A5B"/>
    <w:rsid w:val="00003AD0"/>
    <w:rsid w:val="00005157"/>
    <w:rsid w:val="000073B0"/>
    <w:rsid w:val="000108A3"/>
    <w:rsid w:val="00010C9A"/>
    <w:rsid w:val="00013CE4"/>
    <w:rsid w:val="00015ECC"/>
    <w:rsid w:val="00015FB1"/>
    <w:rsid w:val="000169FD"/>
    <w:rsid w:val="00016EFF"/>
    <w:rsid w:val="000177AA"/>
    <w:rsid w:val="00017BB2"/>
    <w:rsid w:val="0002215D"/>
    <w:rsid w:val="00022303"/>
    <w:rsid w:val="00023084"/>
    <w:rsid w:val="000239AB"/>
    <w:rsid w:val="00025D11"/>
    <w:rsid w:val="00026556"/>
    <w:rsid w:val="00026588"/>
    <w:rsid w:val="00026622"/>
    <w:rsid w:val="0002687C"/>
    <w:rsid w:val="00026DFC"/>
    <w:rsid w:val="00027884"/>
    <w:rsid w:val="00027D4A"/>
    <w:rsid w:val="00032208"/>
    <w:rsid w:val="00033F8D"/>
    <w:rsid w:val="00034F18"/>
    <w:rsid w:val="00035123"/>
    <w:rsid w:val="00035B3C"/>
    <w:rsid w:val="00036892"/>
    <w:rsid w:val="00036DEA"/>
    <w:rsid w:val="000373B4"/>
    <w:rsid w:val="0003785C"/>
    <w:rsid w:val="00040B3D"/>
    <w:rsid w:val="000410C1"/>
    <w:rsid w:val="00042B58"/>
    <w:rsid w:val="00042C0E"/>
    <w:rsid w:val="0004397E"/>
    <w:rsid w:val="000442F1"/>
    <w:rsid w:val="0005183F"/>
    <w:rsid w:val="00052C43"/>
    <w:rsid w:val="00053CCA"/>
    <w:rsid w:val="00056211"/>
    <w:rsid w:val="000579A4"/>
    <w:rsid w:val="00060DD4"/>
    <w:rsid w:val="00061556"/>
    <w:rsid w:val="00062012"/>
    <w:rsid w:val="0006322B"/>
    <w:rsid w:val="00063F8F"/>
    <w:rsid w:val="00065F0C"/>
    <w:rsid w:val="0006634D"/>
    <w:rsid w:val="00067E44"/>
    <w:rsid w:val="00070FF3"/>
    <w:rsid w:val="00071E52"/>
    <w:rsid w:val="00072175"/>
    <w:rsid w:val="000723DF"/>
    <w:rsid w:val="00072B78"/>
    <w:rsid w:val="00072E78"/>
    <w:rsid w:val="0007375B"/>
    <w:rsid w:val="00074CF2"/>
    <w:rsid w:val="00076347"/>
    <w:rsid w:val="00076668"/>
    <w:rsid w:val="00076EEA"/>
    <w:rsid w:val="00077C5D"/>
    <w:rsid w:val="00081119"/>
    <w:rsid w:val="00083922"/>
    <w:rsid w:val="00084F69"/>
    <w:rsid w:val="00087184"/>
    <w:rsid w:val="000901BB"/>
    <w:rsid w:val="00090609"/>
    <w:rsid w:val="00090E05"/>
    <w:rsid w:val="00091B7D"/>
    <w:rsid w:val="000928C1"/>
    <w:rsid w:val="000940DF"/>
    <w:rsid w:val="00094628"/>
    <w:rsid w:val="0009493A"/>
    <w:rsid w:val="00094F95"/>
    <w:rsid w:val="00095DF4"/>
    <w:rsid w:val="00097877"/>
    <w:rsid w:val="000A01DD"/>
    <w:rsid w:val="000A3E0D"/>
    <w:rsid w:val="000A474C"/>
    <w:rsid w:val="000A480D"/>
    <w:rsid w:val="000A4DB9"/>
    <w:rsid w:val="000A694B"/>
    <w:rsid w:val="000A70B4"/>
    <w:rsid w:val="000A7D65"/>
    <w:rsid w:val="000B01EF"/>
    <w:rsid w:val="000B0226"/>
    <w:rsid w:val="000B0E85"/>
    <w:rsid w:val="000B1B89"/>
    <w:rsid w:val="000B5F8B"/>
    <w:rsid w:val="000B677E"/>
    <w:rsid w:val="000B76D4"/>
    <w:rsid w:val="000B77DD"/>
    <w:rsid w:val="000B7E78"/>
    <w:rsid w:val="000C00EA"/>
    <w:rsid w:val="000C081A"/>
    <w:rsid w:val="000C0BF9"/>
    <w:rsid w:val="000C31BE"/>
    <w:rsid w:val="000C3694"/>
    <w:rsid w:val="000C52A2"/>
    <w:rsid w:val="000C55E2"/>
    <w:rsid w:val="000C5A81"/>
    <w:rsid w:val="000C65DB"/>
    <w:rsid w:val="000C718F"/>
    <w:rsid w:val="000D23F8"/>
    <w:rsid w:val="000D3368"/>
    <w:rsid w:val="000D3477"/>
    <w:rsid w:val="000D4E44"/>
    <w:rsid w:val="000D613E"/>
    <w:rsid w:val="000E201D"/>
    <w:rsid w:val="000E2E73"/>
    <w:rsid w:val="000E2F79"/>
    <w:rsid w:val="000E3899"/>
    <w:rsid w:val="000E5A7B"/>
    <w:rsid w:val="000E7CFA"/>
    <w:rsid w:val="000F0437"/>
    <w:rsid w:val="000F0564"/>
    <w:rsid w:val="000F05FB"/>
    <w:rsid w:val="000F2407"/>
    <w:rsid w:val="000F264F"/>
    <w:rsid w:val="000F2E68"/>
    <w:rsid w:val="000F304B"/>
    <w:rsid w:val="000F3983"/>
    <w:rsid w:val="000F3C21"/>
    <w:rsid w:val="000F535A"/>
    <w:rsid w:val="000F54BB"/>
    <w:rsid w:val="000F6091"/>
    <w:rsid w:val="000F6EF3"/>
    <w:rsid w:val="001016A6"/>
    <w:rsid w:val="0010296A"/>
    <w:rsid w:val="00102A14"/>
    <w:rsid w:val="00102D13"/>
    <w:rsid w:val="00103C7A"/>
    <w:rsid w:val="00104B62"/>
    <w:rsid w:val="0010539A"/>
    <w:rsid w:val="0010649C"/>
    <w:rsid w:val="0010695F"/>
    <w:rsid w:val="00107521"/>
    <w:rsid w:val="00110183"/>
    <w:rsid w:val="001103D5"/>
    <w:rsid w:val="00112825"/>
    <w:rsid w:val="0011309A"/>
    <w:rsid w:val="001136DD"/>
    <w:rsid w:val="00113E98"/>
    <w:rsid w:val="00123C68"/>
    <w:rsid w:val="001240AF"/>
    <w:rsid w:val="001303CF"/>
    <w:rsid w:val="00131A3E"/>
    <w:rsid w:val="00131D55"/>
    <w:rsid w:val="00133759"/>
    <w:rsid w:val="00136E43"/>
    <w:rsid w:val="00141E38"/>
    <w:rsid w:val="00144AE9"/>
    <w:rsid w:val="00145608"/>
    <w:rsid w:val="0015023B"/>
    <w:rsid w:val="00152B7A"/>
    <w:rsid w:val="00154B7A"/>
    <w:rsid w:val="001562B3"/>
    <w:rsid w:val="001570F4"/>
    <w:rsid w:val="00157326"/>
    <w:rsid w:val="00157D77"/>
    <w:rsid w:val="00162171"/>
    <w:rsid w:val="00162350"/>
    <w:rsid w:val="00162B18"/>
    <w:rsid w:val="00163CA7"/>
    <w:rsid w:val="00164CE7"/>
    <w:rsid w:val="001652C5"/>
    <w:rsid w:val="00165D35"/>
    <w:rsid w:val="001667A4"/>
    <w:rsid w:val="00173B2E"/>
    <w:rsid w:val="001743DD"/>
    <w:rsid w:val="00175965"/>
    <w:rsid w:val="00175D85"/>
    <w:rsid w:val="001762E2"/>
    <w:rsid w:val="001763B8"/>
    <w:rsid w:val="001765DD"/>
    <w:rsid w:val="00177BD0"/>
    <w:rsid w:val="00180CD8"/>
    <w:rsid w:val="00180F38"/>
    <w:rsid w:val="00181037"/>
    <w:rsid w:val="00181ACC"/>
    <w:rsid w:val="0018257C"/>
    <w:rsid w:val="001832C8"/>
    <w:rsid w:val="00186224"/>
    <w:rsid w:val="00190195"/>
    <w:rsid w:val="0019111C"/>
    <w:rsid w:val="00191A47"/>
    <w:rsid w:val="00192C81"/>
    <w:rsid w:val="00192DE0"/>
    <w:rsid w:val="00193463"/>
    <w:rsid w:val="001946BE"/>
    <w:rsid w:val="001953F3"/>
    <w:rsid w:val="001968F0"/>
    <w:rsid w:val="001A1DE4"/>
    <w:rsid w:val="001A208B"/>
    <w:rsid w:val="001A24EE"/>
    <w:rsid w:val="001A2E53"/>
    <w:rsid w:val="001A4933"/>
    <w:rsid w:val="001A51DC"/>
    <w:rsid w:val="001A5E1C"/>
    <w:rsid w:val="001A6616"/>
    <w:rsid w:val="001A6867"/>
    <w:rsid w:val="001A79A7"/>
    <w:rsid w:val="001A7A51"/>
    <w:rsid w:val="001B1E79"/>
    <w:rsid w:val="001B2237"/>
    <w:rsid w:val="001B2F29"/>
    <w:rsid w:val="001B4C70"/>
    <w:rsid w:val="001B54F4"/>
    <w:rsid w:val="001B624B"/>
    <w:rsid w:val="001B6369"/>
    <w:rsid w:val="001B7C92"/>
    <w:rsid w:val="001C0040"/>
    <w:rsid w:val="001C1C24"/>
    <w:rsid w:val="001C1EDB"/>
    <w:rsid w:val="001C28CF"/>
    <w:rsid w:val="001C5FB5"/>
    <w:rsid w:val="001C6224"/>
    <w:rsid w:val="001C664F"/>
    <w:rsid w:val="001C695B"/>
    <w:rsid w:val="001C6DFD"/>
    <w:rsid w:val="001C6EFA"/>
    <w:rsid w:val="001C73F9"/>
    <w:rsid w:val="001D31C8"/>
    <w:rsid w:val="001D5F82"/>
    <w:rsid w:val="001D62AF"/>
    <w:rsid w:val="001D673B"/>
    <w:rsid w:val="001D7A54"/>
    <w:rsid w:val="001D7CC6"/>
    <w:rsid w:val="001E0A9E"/>
    <w:rsid w:val="001E173B"/>
    <w:rsid w:val="001E4914"/>
    <w:rsid w:val="001E5D9E"/>
    <w:rsid w:val="001F0802"/>
    <w:rsid w:val="001F0E65"/>
    <w:rsid w:val="001F2498"/>
    <w:rsid w:val="001F29ED"/>
    <w:rsid w:val="001F2FD6"/>
    <w:rsid w:val="001F3055"/>
    <w:rsid w:val="001F6984"/>
    <w:rsid w:val="00200B5C"/>
    <w:rsid w:val="00203098"/>
    <w:rsid w:val="00206953"/>
    <w:rsid w:val="00206D9E"/>
    <w:rsid w:val="00206EA1"/>
    <w:rsid w:val="00207303"/>
    <w:rsid w:val="00207458"/>
    <w:rsid w:val="002075B9"/>
    <w:rsid w:val="00210B1E"/>
    <w:rsid w:val="00216117"/>
    <w:rsid w:val="00216324"/>
    <w:rsid w:val="00216F0C"/>
    <w:rsid w:val="00220266"/>
    <w:rsid w:val="002216B1"/>
    <w:rsid w:val="00221BBE"/>
    <w:rsid w:val="00222952"/>
    <w:rsid w:val="00222D90"/>
    <w:rsid w:val="00223314"/>
    <w:rsid w:val="00224262"/>
    <w:rsid w:val="00227D9A"/>
    <w:rsid w:val="0023112A"/>
    <w:rsid w:val="00231277"/>
    <w:rsid w:val="002317E4"/>
    <w:rsid w:val="00231E36"/>
    <w:rsid w:val="00233891"/>
    <w:rsid w:val="002354FE"/>
    <w:rsid w:val="0023583C"/>
    <w:rsid w:val="00235FE9"/>
    <w:rsid w:val="002402B7"/>
    <w:rsid w:val="00240D76"/>
    <w:rsid w:val="0024270F"/>
    <w:rsid w:val="00244F32"/>
    <w:rsid w:val="002456C0"/>
    <w:rsid w:val="00247218"/>
    <w:rsid w:val="0025178F"/>
    <w:rsid w:val="00253557"/>
    <w:rsid w:val="00256521"/>
    <w:rsid w:val="0026122B"/>
    <w:rsid w:val="0026128C"/>
    <w:rsid w:val="00262982"/>
    <w:rsid w:val="00263C93"/>
    <w:rsid w:val="00266625"/>
    <w:rsid w:val="0027055B"/>
    <w:rsid w:val="002707E1"/>
    <w:rsid w:val="002733F0"/>
    <w:rsid w:val="0027508E"/>
    <w:rsid w:val="002764C3"/>
    <w:rsid w:val="0027654C"/>
    <w:rsid w:val="0028066B"/>
    <w:rsid w:val="00285772"/>
    <w:rsid w:val="0028723D"/>
    <w:rsid w:val="00291DFE"/>
    <w:rsid w:val="00292C85"/>
    <w:rsid w:val="002944A4"/>
    <w:rsid w:val="002945E3"/>
    <w:rsid w:val="00295450"/>
    <w:rsid w:val="002966D8"/>
    <w:rsid w:val="00297DF8"/>
    <w:rsid w:val="002A0140"/>
    <w:rsid w:val="002A0EDD"/>
    <w:rsid w:val="002A1F24"/>
    <w:rsid w:val="002A234B"/>
    <w:rsid w:val="002A26E6"/>
    <w:rsid w:val="002A5F74"/>
    <w:rsid w:val="002B0A77"/>
    <w:rsid w:val="002B31C8"/>
    <w:rsid w:val="002B42F8"/>
    <w:rsid w:val="002B44E1"/>
    <w:rsid w:val="002B4DE5"/>
    <w:rsid w:val="002B4EEC"/>
    <w:rsid w:val="002B57A5"/>
    <w:rsid w:val="002B5A23"/>
    <w:rsid w:val="002B757B"/>
    <w:rsid w:val="002B795C"/>
    <w:rsid w:val="002C0413"/>
    <w:rsid w:val="002C122A"/>
    <w:rsid w:val="002C27BD"/>
    <w:rsid w:val="002C2EC4"/>
    <w:rsid w:val="002C33EF"/>
    <w:rsid w:val="002C7638"/>
    <w:rsid w:val="002C7B85"/>
    <w:rsid w:val="002D0968"/>
    <w:rsid w:val="002D2918"/>
    <w:rsid w:val="002D5D37"/>
    <w:rsid w:val="002D7515"/>
    <w:rsid w:val="002E062E"/>
    <w:rsid w:val="002E0DEC"/>
    <w:rsid w:val="002E1D18"/>
    <w:rsid w:val="002E1E0D"/>
    <w:rsid w:val="002E2043"/>
    <w:rsid w:val="002E29CA"/>
    <w:rsid w:val="002E3B9C"/>
    <w:rsid w:val="002E5432"/>
    <w:rsid w:val="002E7556"/>
    <w:rsid w:val="002E77C4"/>
    <w:rsid w:val="002F0113"/>
    <w:rsid w:val="002F1761"/>
    <w:rsid w:val="002F1F9D"/>
    <w:rsid w:val="002F4222"/>
    <w:rsid w:val="002F4295"/>
    <w:rsid w:val="002F5F95"/>
    <w:rsid w:val="002F746E"/>
    <w:rsid w:val="0030078C"/>
    <w:rsid w:val="00300E37"/>
    <w:rsid w:val="00301794"/>
    <w:rsid w:val="00301E42"/>
    <w:rsid w:val="00302C41"/>
    <w:rsid w:val="00303811"/>
    <w:rsid w:val="0030381C"/>
    <w:rsid w:val="00307BC2"/>
    <w:rsid w:val="00310C3B"/>
    <w:rsid w:val="0031289A"/>
    <w:rsid w:val="00314331"/>
    <w:rsid w:val="0031517A"/>
    <w:rsid w:val="003154C9"/>
    <w:rsid w:val="00315E3E"/>
    <w:rsid w:val="00316CD0"/>
    <w:rsid w:val="00320CB2"/>
    <w:rsid w:val="00320FE7"/>
    <w:rsid w:val="00321612"/>
    <w:rsid w:val="0032186A"/>
    <w:rsid w:val="003229E9"/>
    <w:rsid w:val="00324F3A"/>
    <w:rsid w:val="003260F0"/>
    <w:rsid w:val="00327DBF"/>
    <w:rsid w:val="00330B48"/>
    <w:rsid w:val="003325F9"/>
    <w:rsid w:val="00334F41"/>
    <w:rsid w:val="00335CB3"/>
    <w:rsid w:val="00336EF6"/>
    <w:rsid w:val="003410F0"/>
    <w:rsid w:val="00341EF8"/>
    <w:rsid w:val="0034341A"/>
    <w:rsid w:val="00343B22"/>
    <w:rsid w:val="00343D06"/>
    <w:rsid w:val="003440B7"/>
    <w:rsid w:val="00345285"/>
    <w:rsid w:val="00346D38"/>
    <w:rsid w:val="00347BD8"/>
    <w:rsid w:val="00350871"/>
    <w:rsid w:val="00350B3D"/>
    <w:rsid w:val="00350F22"/>
    <w:rsid w:val="00351945"/>
    <w:rsid w:val="00352816"/>
    <w:rsid w:val="00353BC7"/>
    <w:rsid w:val="003544BD"/>
    <w:rsid w:val="00355724"/>
    <w:rsid w:val="00356337"/>
    <w:rsid w:val="003567DA"/>
    <w:rsid w:val="00356F4A"/>
    <w:rsid w:val="00357DAD"/>
    <w:rsid w:val="00357ED7"/>
    <w:rsid w:val="0036076B"/>
    <w:rsid w:val="00363AAC"/>
    <w:rsid w:val="00364024"/>
    <w:rsid w:val="00364CC0"/>
    <w:rsid w:val="00366027"/>
    <w:rsid w:val="0036780E"/>
    <w:rsid w:val="00370944"/>
    <w:rsid w:val="00371020"/>
    <w:rsid w:val="003723E8"/>
    <w:rsid w:val="0037249C"/>
    <w:rsid w:val="003731D3"/>
    <w:rsid w:val="003751C9"/>
    <w:rsid w:val="00375D47"/>
    <w:rsid w:val="003766AC"/>
    <w:rsid w:val="00376849"/>
    <w:rsid w:val="00377161"/>
    <w:rsid w:val="003775E3"/>
    <w:rsid w:val="00380C92"/>
    <w:rsid w:val="00382067"/>
    <w:rsid w:val="0038344C"/>
    <w:rsid w:val="00384A8D"/>
    <w:rsid w:val="003856D7"/>
    <w:rsid w:val="00386B76"/>
    <w:rsid w:val="003872C2"/>
    <w:rsid w:val="00390083"/>
    <w:rsid w:val="0039040C"/>
    <w:rsid w:val="0039060D"/>
    <w:rsid w:val="00391264"/>
    <w:rsid w:val="0039185F"/>
    <w:rsid w:val="00391E53"/>
    <w:rsid w:val="003935BA"/>
    <w:rsid w:val="00393E2B"/>
    <w:rsid w:val="0039453F"/>
    <w:rsid w:val="00394561"/>
    <w:rsid w:val="0039519A"/>
    <w:rsid w:val="00396948"/>
    <w:rsid w:val="00396CA2"/>
    <w:rsid w:val="003A39E0"/>
    <w:rsid w:val="003A71C8"/>
    <w:rsid w:val="003B1335"/>
    <w:rsid w:val="003B1D42"/>
    <w:rsid w:val="003B2281"/>
    <w:rsid w:val="003B2A24"/>
    <w:rsid w:val="003B2DC3"/>
    <w:rsid w:val="003B482A"/>
    <w:rsid w:val="003B5D04"/>
    <w:rsid w:val="003B7A60"/>
    <w:rsid w:val="003C00CD"/>
    <w:rsid w:val="003C0B69"/>
    <w:rsid w:val="003C0D21"/>
    <w:rsid w:val="003C160D"/>
    <w:rsid w:val="003C1B1D"/>
    <w:rsid w:val="003C4CF3"/>
    <w:rsid w:val="003C5BB2"/>
    <w:rsid w:val="003C5F8B"/>
    <w:rsid w:val="003C6265"/>
    <w:rsid w:val="003C765C"/>
    <w:rsid w:val="003C7A5F"/>
    <w:rsid w:val="003D0891"/>
    <w:rsid w:val="003D0C65"/>
    <w:rsid w:val="003D1E99"/>
    <w:rsid w:val="003D27BE"/>
    <w:rsid w:val="003D324A"/>
    <w:rsid w:val="003D3E56"/>
    <w:rsid w:val="003D44F2"/>
    <w:rsid w:val="003D4B46"/>
    <w:rsid w:val="003D4FDD"/>
    <w:rsid w:val="003D5F72"/>
    <w:rsid w:val="003D605E"/>
    <w:rsid w:val="003D6148"/>
    <w:rsid w:val="003D6F49"/>
    <w:rsid w:val="003D7689"/>
    <w:rsid w:val="003D7836"/>
    <w:rsid w:val="003E2B15"/>
    <w:rsid w:val="003E4741"/>
    <w:rsid w:val="003E5683"/>
    <w:rsid w:val="003E64E3"/>
    <w:rsid w:val="003E6571"/>
    <w:rsid w:val="003F1DCF"/>
    <w:rsid w:val="003F305F"/>
    <w:rsid w:val="003F48DE"/>
    <w:rsid w:val="003F67D3"/>
    <w:rsid w:val="00401C00"/>
    <w:rsid w:val="00402BCB"/>
    <w:rsid w:val="00402FFB"/>
    <w:rsid w:val="00403492"/>
    <w:rsid w:val="00403A2A"/>
    <w:rsid w:val="00407D2F"/>
    <w:rsid w:val="00407EC5"/>
    <w:rsid w:val="004114F3"/>
    <w:rsid w:val="004118F8"/>
    <w:rsid w:val="004136DF"/>
    <w:rsid w:val="0041395C"/>
    <w:rsid w:val="00413E77"/>
    <w:rsid w:val="00415272"/>
    <w:rsid w:val="0041579D"/>
    <w:rsid w:val="0041603E"/>
    <w:rsid w:val="00417235"/>
    <w:rsid w:val="00417B92"/>
    <w:rsid w:val="00420B63"/>
    <w:rsid w:val="00420EEC"/>
    <w:rsid w:val="00421AE7"/>
    <w:rsid w:val="00423065"/>
    <w:rsid w:val="0042333E"/>
    <w:rsid w:val="00423BA3"/>
    <w:rsid w:val="00423C11"/>
    <w:rsid w:val="0042578B"/>
    <w:rsid w:val="00426D94"/>
    <w:rsid w:val="00427774"/>
    <w:rsid w:val="00427A9B"/>
    <w:rsid w:val="00431A42"/>
    <w:rsid w:val="00432FF8"/>
    <w:rsid w:val="00433267"/>
    <w:rsid w:val="004338ED"/>
    <w:rsid w:val="00433C85"/>
    <w:rsid w:val="004352CC"/>
    <w:rsid w:val="00440C62"/>
    <w:rsid w:val="00443931"/>
    <w:rsid w:val="00444027"/>
    <w:rsid w:val="004447A6"/>
    <w:rsid w:val="004466D6"/>
    <w:rsid w:val="004469EB"/>
    <w:rsid w:val="00450B76"/>
    <w:rsid w:val="00450D75"/>
    <w:rsid w:val="00451316"/>
    <w:rsid w:val="00452B64"/>
    <w:rsid w:val="00455308"/>
    <w:rsid w:val="00455694"/>
    <w:rsid w:val="00457246"/>
    <w:rsid w:val="0046062D"/>
    <w:rsid w:val="00461977"/>
    <w:rsid w:val="00466D2E"/>
    <w:rsid w:val="004704DF"/>
    <w:rsid w:val="00470E87"/>
    <w:rsid w:val="004717F0"/>
    <w:rsid w:val="00471C1F"/>
    <w:rsid w:val="00472E28"/>
    <w:rsid w:val="004749C6"/>
    <w:rsid w:val="00475D14"/>
    <w:rsid w:val="00475F17"/>
    <w:rsid w:val="00476861"/>
    <w:rsid w:val="0048027C"/>
    <w:rsid w:val="004818F5"/>
    <w:rsid w:val="004820CC"/>
    <w:rsid w:val="004832D2"/>
    <w:rsid w:val="00485176"/>
    <w:rsid w:val="00485D8E"/>
    <w:rsid w:val="004872B8"/>
    <w:rsid w:val="00487BBD"/>
    <w:rsid w:val="00490AC8"/>
    <w:rsid w:val="00492642"/>
    <w:rsid w:val="00494057"/>
    <w:rsid w:val="00497425"/>
    <w:rsid w:val="004A00FA"/>
    <w:rsid w:val="004A013C"/>
    <w:rsid w:val="004A0191"/>
    <w:rsid w:val="004A1D01"/>
    <w:rsid w:val="004A2E65"/>
    <w:rsid w:val="004A372E"/>
    <w:rsid w:val="004A3DD2"/>
    <w:rsid w:val="004A428F"/>
    <w:rsid w:val="004A50FB"/>
    <w:rsid w:val="004A5E85"/>
    <w:rsid w:val="004A6AA3"/>
    <w:rsid w:val="004B0FDC"/>
    <w:rsid w:val="004B13E9"/>
    <w:rsid w:val="004B1B87"/>
    <w:rsid w:val="004B38F2"/>
    <w:rsid w:val="004B5C39"/>
    <w:rsid w:val="004B7243"/>
    <w:rsid w:val="004B79DD"/>
    <w:rsid w:val="004C0A6C"/>
    <w:rsid w:val="004C1459"/>
    <w:rsid w:val="004C1494"/>
    <w:rsid w:val="004C1805"/>
    <w:rsid w:val="004C1AFA"/>
    <w:rsid w:val="004C2619"/>
    <w:rsid w:val="004C262C"/>
    <w:rsid w:val="004C2C91"/>
    <w:rsid w:val="004C2FC6"/>
    <w:rsid w:val="004C417A"/>
    <w:rsid w:val="004C6E4E"/>
    <w:rsid w:val="004C70E4"/>
    <w:rsid w:val="004C7543"/>
    <w:rsid w:val="004C7839"/>
    <w:rsid w:val="004D03D6"/>
    <w:rsid w:val="004D60CF"/>
    <w:rsid w:val="004D639E"/>
    <w:rsid w:val="004D64D4"/>
    <w:rsid w:val="004D6D43"/>
    <w:rsid w:val="004D779C"/>
    <w:rsid w:val="004D79C4"/>
    <w:rsid w:val="004E1048"/>
    <w:rsid w:val="004E2008"/>
    <w:rsid w:val="004E2C0F"/>
    <w:rsid w:val="004E5DBD"/>
    <w:rsid w:val="004F1615"/>
    <w:rsid w:val="004F242E"/>
    <w:rsid w:val="004F694F"/>
    <w:rsid w:val="004F715B"/>
    <w:rsid w:val="004F7C90"/>
    <w:rsid w:val="004F7E93"/>
    <w:rsid w:val="00503474"/>
    <w:rsid w:val="005037C0"/>
    <w:rsid w:val="00504EC6"/>
    <w:rsid w:val="00506C18"/>
    <w:rsid w:val="00507004"/>
    <w:rsid w:val="00507187"/>
    <w:rsid w:val="00507ED4"/>
    <w:rsid w:val="00511270"/>
    <w:rsid w:val="00511C37"/>
    <w:rsid w:val="00514E1E"/>
    <w:rsid w:val="00515825"/>
    <w:rsid w:val="00516714"/>
    <w:rsid w:val="0051755A"/>
    <w:rsid w:val="00517955"/>
    <w:rsid w:val="00520F10"/>
    <w:rsid w:val="00520FBA"/>
    <w:rsid w:val="0052161C"/>
    <w:rsid w:val="00521977"/>
    <w:rsid w:val="00524399"/>
    <w:rsid w:val="005249CE"/>
    <w:rsid w:val="00525B7C"/>
    <w:rsid w:val="00525FA1"/>
    <w:rsid w:val="005263B5"/>
    <w:rsid w:val="005304FB"/>
    <w:rsid w:val="0053407C"/>
    <w:rsid w:val="0053446E"/>
    <w:rsid w:val="00535122"/>
    <w:rsid w:val="00535472"/>
    <w:rsid w:val="0053572E"/>
    <w:rsid w:val="00536182"/>
    <w:rsid w:val="00540321"/>
    <w:rsid w:val="00540509"/>
    <w:rsid w:val="005410AA"/>
    <w:rsid w:val="00542C7B"/>
    <w:rsid w:val="00544B25"/>
    <w:rsid w:val="00547274"/>
    <w:rsid w:val="00547473"/>
    <w:rsid w:val="00547843"/>
    <w:rsid w:val="00547EAA"/>
    <w:rsid w:val="005506CF"/>
    <w:rsid w:val="00550C35"/>
    <w:rsid w:val="00552731"/>
    <w:rsid w:val="00552E5C"/>
    <w:rsid w:val="0055310E"/>
    <w:rsid w:val="005573E0"/>
    <w:rsid w:val="005576B3"/>
    <w:rsid w:val="0055789F"/>
    <w:rsid w:val="0056063F"/>
    <w:rsid w:val="00561D69"/>
    <w:rsid w:val="005624C8"/>
    <w:rsid w:val="00563A2B"/>
    <w:rsid w:val="00563BB9"/>
    <w:rsid w:val="0056520C"/>
    <w:rsid w:val="00565CBE"/>
    <w:rsid w:val="00565D2C"/>
    <w:rsid w:val="00567D15"/>
    <w:rsid w:val="00572431"/>
    <w:rsid w:val="00572849"/>
    <w:rsid w:val="00573383"/>
    <w:rsid w:val="00573B60"/>
    <w:rsid w:val="00575BE5"/>
    <w:rsid w:val="005770C5"/>
    <w:rsid w:val="00580469"/>
    <w:rsid w:val="00580E43"/>
    <w:rsid w:val="005836E6"/>
    <w:rsid w:val="0058488E"/>
    <w:rsid w:val="00584A30"/>
    <w:rsid w:val="005853A7"/>
    <w:rsid w:val="00585969"/>
    <w:rsid w:val="00585ACF"/>
    <w:rsid w:val="00585AFF"/>
    <w:rsid w:val="00585E37"/>
    <w:rsid w:val="00585EA8"/>
    <w:rsid w:val="005873E5"/>
    <w:rsid w:val="005879C9"/>
    <w:rsid w:val="005909FE"/>
    <w:rsid w:val="005910ED"/>
    <w:rsid w:val="00592822"/>
    <w:rsid w:val="00592A24"/>
    <w:rsid w:val="00592B4C"/>
    <w:rsid w:val="00594BA0"/>
    <w:rsid w:val="0059643D"/>
    <w:rsid w:val="00597426"/>
    <w:rsid w:val="005A09D2"/>
    <w:rsid w:val="005A1501"/>
    <w:rsid w:val="005A1E96"/>
    <w:rsid w:val="005A3477"/>
    <w:rsid w:val="005A6347"/>
    <w:rsid w:val="005A7000"/>
    <w:rsid w:val="005A7BDE"/>
    <w:rsid w:val="005B2255"/>
    <w:rsid w:val="005B3510"/>
    <w:rsid w:val="005B425D"/>
    <w:rsid w:val="005B42C9"/>
    <w:rsid w:val="005B6BF1"/>
    <w:rsid w:val="005C0B79"/>
    <w:rsid w:val="005C1CDA"/>
    <w:rsid w:val="005C1CDB"/>
    <w:rsid w:val="005C2993"/>
    <w:rsid w:val="005C33B5"/>
    <w:rsid w:val="005C3433"/>
    <w:rsid w:val="005C4C06"/>
    <w:rsid w:val="005C53EE"/>
    <w:rsid w:val="005C57F7"/>
    <w:rsid w:val="005C78FF"/>
    <w:rsid w:val="005C7B52"/>
    <w:rsid w:val="005C7B65"/>
    <w:rsid w:val="005C7F94"/>
    <w:rsid w:val="005D0561"/>
    <w:rsid w:val="005D10FA"/>
    <w:rsid w:val="005D149F"/>
    <w:rsid w:val="005D16A1"/>
    <w:rsid w:val="005D1F1E"/>
    <w:rsid w:val="005D3454"/>
    <w:rsid w:val="005D3ABC"/>
    <w:rsid w:val="005E0FE0"/>
    <w:rsid w:val="005E124D"/>
    <w:rsid w:val="005E2DCC"/>
    <w:rsid w:val="005E407D"/>
    <w:rsid w:val="005E4E32"/>
    <w:rsid w:val="005E5A44"/>
    <w:rsid w:val="005F03DA"/>
    <w:rsid w:val="005F3516"/>
    <w:rsid w:val="005F59B6"/>
    <w:rsid w:val="005F686B"/>
    <w:rsid w:val="005F73C4"/>
    <w:rsid w:val="005F73E4"/>
    <w:rsid w:val="005F7D01"/>
    <w:rsid w:val="0060065C"/>
    <w:rsid w:val="0060072F"/>
    <w:rsid w:val="00601294"/>
    <w:rsid w:val="00602BD8"/>
    <w:rsid w:val="00602E25"/>
    <w:rsid w:val="00603648"/>
    <w:rsid w:val="00604BF6"/>
    <w:rsid w:val="00605031"/>
    <w:rsid w:val="006056DB"/>
    <w:rsid w:val="006058D2"/>
    <w:rsid w:val="00606DD1"/>
    <w:rsid w:val="0060769A"/>
    <w:rsid w:val="0061072D"/>
    <w:rsid w:val="00611883"/>
    <w:rsid w:val="00611BC4"/>
    <w:rsid w:val="0061263D"/>
    <w:rsid w:val="006137BD"/>
    <w:rsid w:val="00614540"/>
    <w:rsid w:val="00614994"/>
    <w:rsid w:val="00614CE2"/>
    <w:rsid w:val="006162A8"/>
    <w:rsid w:val="00617603"/>
    <w:rsid w:val="00617D76"/>
    <w:rsid w:val="00620A54"/>
    <w:rsid w:val="00621639"/>
    <w:rsid w:val="006218F0"/>
    <w:rsid w:val="00623858"/>
    <w:rsid w:val="006243AB"/>
    <w:rsid w:val="00625C8C"/>
    <w:rsid w:val="0062633E"/>
    <w:rsid w:val="00630B4D"/>
    <w:rsid w:val="0063231E"/>
    <w:rsid w:val="0063436E"/>
    <w:rsid w:val="006348B3"/>
    <w:rsid w:val="00635ADA"/>
    <w:rsid w:val="00636E2B"/>
    <w:rsid w:val="006372DF"/>
    <w:rsid w:val="00640511"/>
    <w:rsid w:val="0064446E"/>
    <w:rsid w:val="0064636C"/>
    <w:rsid w:val="006500F8"/>
    <w:rsid w:val="00650F1B"/>
    <w:rsid w:val="00651B28"/>
    <w:rsid w:val="00652377"/>
    <w:rsid w:val="00654FB6"/>
    <w:rsid w:val="006625C0"/>
    <w:rsid w:val="006628AE"/>
    <w:rsid w:val="006632F6"/>
    <w:rsid w:val="0066559D"/>
    <w:rsid w:val="00666280"/>
    <w:rsid w:val="00667341"/>
    <w:rsid w:val="00667975"/>
    <w:rsid w:val="00671363"/>
    <w:rsid w:val="00671AEC"/>
    <w:rsid w:val="00672215"/>
    <w:rsid w:val="0067291D"/>
    <w:rsid w:val="0067418B"/>
    <w:rsid w:val="00674608"/>
    <w:rsid w:val="00674847"/>
    <w:rsid w:val="00675772"/>
    <w:rsid w:val="0067707B"/>
    <w:rsid w:val="006813C9"/>
    <w:rsid w:val="00681EE3"/>
    <w:rsid w:val="0068299C"/>
    <w:rsid w:val="00684B68"/>
    <w:rsid w:val="00685634"/>
    <w:rsid w:val="00687A95"/>
    <w:rsid w:val="00690A4C"/>
    <w:rsid w:val="00690DF7"/>
    <w:rsid w:val="006918C1"/>
    <w:rsid w:val="0069252B"/>
    <w:rsid w:val="0069322D"/>
    <w:rsid w:val="006937A9"/>
    <w:rsid w:val="0069469B"/>
    <w:rsid w:val="00696473"/>
    <w:rsid w:val="00696FA3"/>
    <w:rsid w:val="006971A5"/>
    <w:rsid w:val="006A0F96"/>
    <w:rsid w:val="006A5D94"/>
    <w:rsid w:val="006A6C04"/>
    <w:rsid w:val="006A6D5E"/>
    <w:rsid w:val="006B0764"/>
    <w:rsid w:val="006B119F"/>
    <w:rsid w:val="006B363B"/>
    <w:rsid w:val="006B3892"/>
    <w:rsid w:val="006B3A4E"/>
    <w:rsid w:val="006B536E"/>
    <w:rsid w:val="006B5BDB"/>
    <w:rsid w:val="006B6360"/>
    <w:rsid w:val="006B7E39"/>
    <w:rsid w:val="006C0EE0"/>
    <w:rsid w:val="006C14FC"/>
    <w:rsid w:val="006C21BE"/>
    <w:rsid w:val="006C2398"/>
    <w:rsid w:val="006C4381"/>
    <w:rsid w:val="006C4FB7"/>
    <w:rsid w:val="006C529E"/>
    <w:rsid w:val="006D1607"/>
    <w:rsid w:val="006D3C5B"/>
    <w:rsid w:val="006D431C"/>
    <w:rsid w:val="006D720E"/>
    <w:rsid w:val="006E10B6"/>
    <w:rsid w:val="006E1DE6"/>
    <w:rsid w:val="006E353E"/>
    <w:rsid w:val="006E38C3"/>
    <w:rsid w:val="006E668C"/>
    <w:rsid w:val="006E67CE"/>
    <w:rsid w:val="006E70CE"/>
    <w:rsid w:val="006F71D1"/>
    <w:rsid w:val="006F7BAB"/>
    <w:rsid w:val="00700A41"/>
    <w:rsid w:val="00700C44"/>
    <w:rsid w:val="00700EC7"/>
    <w:rsid w:val="007015E1"/>
    <w:rsid w:val="007016AF"/>
    <w:rsid w:val="00701BAC"/>
    <w:rsid w:val="00702186"/>
    <w:rsid w:val="00702E1D"/>
    <w:rsid w:val="007030EA"/>
    <w:rsid w:val="00703398"/>
    <w:rsid w:val="00703710"/>
    <w:rsid w:val="00703DD7"/>
    <w:rsid w:val="00704CA0"/>
    <w:rsid w:val="007062AE"/>
    <w:rsid w:val="00706313"/>
    <w:rsid w:val="00706759"/>
    <w:rsid w:val="00712508"/>
    <w:rsid w:val="00712AAF"/>
    <w:rsid w:val="00713635"/>
    <w:rsid w:val="0071406A"/>
    <w:rsid w:val="007158EE"/>
    <w:rsid w:val="00717654"/>
    <w:rsid w:val="00717CC3"/>
    <w:rsid w:val="00717D62"/>
    <w:rsid w:val="00717F77"/>
    <w:rsid w:val="0072326B"/>
    <w:rsid w:val="00723D2C"/>
    <w:rsid w:val="007250DF"/>
    <w:rsid w:val="00726DD6"/>
    <w:rsid w:val="007309BA"/>
    <w:rsid w:val="00730A51"/>
    <w:rsid w:val="00730BD5"/>
    <w:rsid w:val="00733B76"/>
    <w:rsid w:val="00733E97"/>
    <w:rsid w:val="00734771"/>
    <w:rsid w:val="0073479C"/>
    <w:rsid w:val="007350AD"/>
    <w:rsid w:val="00736359"/>
    <w:rsid w:val="00737039"/>
    <w:rsid w:val="00740585"/>
    <w:rsid w:val="007419DE"/>
    <w:rsid w:val="007428F6"/>
    <w:rsid w:val="00743D6F"/>
    <w:rsid w:val="007441E5"/>
    <w:rsid w:val="00744DB0"/>
    <w:rsid w:val="00745C22"/>
    <w:rsid w:val="00746296"/>
    <w:rsid w:val="00746715"/>
    <w:rsid w:val="007508C9"/>
    <w:rsid w:val="007512E3"/>
    <w:rsid w:val="00752709"/>
    <w:rsid w:val="00753008"/>
    <w:rsid w:val="007548D8"/>
    <w:rsid w:val="00756037"/>
    <w:rsid w:val="00763DAC"/>
    <w:rsid w:val="00763FF6"/>
    <w:rsid w:val="00764192"/>
    <w:rsid w:val="00764B7B"/>
    <w:rsid w:val="00765831"/>
    <w:rsid w:val="00766036"/>
    <w:rsid w:val="0076652D"/>
    <w:rsid w:val="00767376"/>
    <w:rsid w:val="00767902"/>
    <w:rsid w:val="00767AD0"/>
    <w:rsid w:val="00771395"/>
    <w:rsid w:val="00771739"/>
    <w:rsid w:val="00772CF8"/>
    <w:rsid w:val="00773CA5"/>
    <w:rsid w:val="0077461C"/>
    <w:rsid w:val="00774AE7"/>
    <w:rsid w:val="0077577D"/>
    <w:rsid w:val="00776538"/>
    <w:rsid w:val="0077655A"/>
    <w:rsid w:val="00776E40"/>
    <w:rsid w:val="00780485"/>
    <w:rsid w:val="00783110"/>
    <w:rsid w:val="007835DF"/>
    <w:rsid w:val="00783D52"/>
    <w:rsid w:val="00784D0E"/>
    <w:rsid w:val="0078633F"/>
    <w:rsid w:val="00793DFE"/>
    <w:rsid w:val="00793FBE"/>
    <w:rsid w:val="00794C40"/>
    <w:rsid w:val="00797DB5"/>
    <w:rsid w:val="007A017B"/>
    <w:rsid w:val="007A070C"/>
    <w:rsid w:val="007A0B52"/>
    <w:rsid w:val="007A1CF3"/>
    <w:rsid w:val="007A1DCF"/>
    <w:rsid w:val="007A322E"/>
    <w:rsid w:val="007A34EE"/>
    <w:rsid w:val="007A3C4E"/>
    <w:rsid w:val="007A3D9A"/>
    <w:rsid w:val="007A4D23"/>
    <w:rsid w:val="007A5AFE"/>
    <w:rsid w:val="007A6FB2"/>
    <w:rsid w:val="007A74B4"/>
    <w:rsid w:val="007A7562"/>
    <w:rsid w:val="007A7BD1"/>
    <w:rsid w:val="007B06F3"/>
    <w:rsid w:val="007B08D7"/>
    <w:rsid w:val="007B16CA"/>
    <w:rsid w:val="007B364D"/>
    <w:rsid w:val="007B40C7"/>
    <w:rsid w:val="007B438E"/>
    <w:rsid w:val="007B47DA"/>
    <w:rsid w:val="007B6140"/>
    <w:rsid w:val="007B6E38"/>
    <w:rsid w:val="007B7FD7"/>
    <w:rsid w:val="007C062E"/>
    <w:rsid w:val="007C42C1"/>
    <w:rsid w:val="007C4DD4"/>
    <w:rsid w:val="007C6EC4"/>
    <w:rsid w:val="007C7662"/>
    <w:rsid w:val="007D07CF"/>
    <w:rsid w:val="007D1B7C"/>
    <w:rsid w:val="007D1B80"/>
    <w:rsid w:val="007D20E9"/>
    <w:rsid w:val="007D30E6"/>
    <w:rsid w:val="007D486C"/>
    <w:rsid w:val="007D509B"/>
    <w:rsid w:val="007D58EE"/>
    <w:rsid w:val="007D68BD"/>
    <w:rsid w:val="007D6C1A"/>
    <w:rsid w:val="007D7158"/>
    <w:rsid w:val="007E0576"/>
    <w:rsid w:val="007E0B17"/>
    <w:rsid w:val="007E40B4"/>
    <w:rsid w:val="007E4369"/>
    <w:rsid w:val="007E55EF"/>
    <w:rsid w:val="007E6654"/>
    <w:rsid w:val="007E7713"/>
    <w:rsid w:val="007F0632"/>
    <w:rsid w:val="007F1622"/>
    <w:rsid w:val="007F32B1"/>
    <w:rsid w:val="007F349A"/>
    <w:rsid w:val="007F671D"/>
    <w:rsid w:val="007F6BAE"/>
    <w:rsid w:val="007F7D96"/>
    <w:rsid w:val="00800B5A"/>
    <w:rsid w:val="0080245B"/>
    <w:rsid w:val="00802478"/>
    <w:rsid w:val="0080378A"/>
    <w:rsid w:val="00803DC1"/>
    <w:rsid w:val="0080478C"/>
    <w:rsid w:val="008051CB"/>
    <w:rsid w:val="00805AF1"/>
    <w:rsid w:val="008105E1"/>
    <w:rsid w:val="008122F9"/>
    <w:rsid w:val="00813F2E"/>
    <w:rsid w:val="00814079"/>
    <w:rsid w:val="00814C41"/>
    <w:rsid w:val="00816A31"/>
    <w:rsid w:val="00821AA3"/>
    <w:rsid w:val="00823019"/>
    <w:rsid w:val="008243AC"/>
    <w:rsid w:val="0082511C"/>
    <w:rsid w:val="00825948"/>
    <w:rsid w:val="00825991"/>
    <w:rsid w:val="00825AE1"/>
    <w:rsid w:val="00827A91"/>
    <w:rsid w:val="00833E20"/>
    <w:rsid w:val="00834AB1"/>
    <w:rsid w:val="00834C98"/>
    <w:rsid w:val="00835025"/>
    <w:rsid w:val="008351EB"/>
    <w:rsid w:val="00835881"/>
    <w:rsid w:val="008400DC"/>
    <w:rsid w:val="008405F1"/>
    <w:rsid w:val="00840A06"/>
    <w:rsid w:val="00840D64"/>
    <w:rsid w:val="00840E3A"/>
    <w:rsid w:val="00841CF6"/>
    <w:rsid w:val="008422FD"/>
    <w:rsid w:val="0084231C"/>
    <w:rsid w:val="008434BB"/>
    <w:rsid w:val="008450D3"/>
    <w:rsid w:val="0084548F"/>
    <w:rsid w:val="00845C58"/>
    <w:rsid w:val="00847607"/>
    <w:rsid w:val="00851B79"/>
    <w:rsid w:val="00851E25"/>
    <w:rsid w:val="00853632"/>
    <w:rsid w:val="00855AB8"/>
    <w:rsid w:val="00855C40"/>
    <w:rsid w:val="00855E37"/>
    <w:rsid w:val="008560CE"/>
    <w:rsid w:val="00856729"/>
    <w:rsid w:val="00857014"/>
    <w:rsid w:val="00860CE5"/>
    <w:rsid w:val="00860E02"/>
    <w:rsid w:val="00862287"/>
    <w:rsid w:val="008637EF"/>
    <w:rsid w:val="008642BE"/>
    <w:rsid w:val="008653F1"/>
    <w:rsid w:val="008658F2"/>
    <w:rsid w:val="00865B61"/>
    <w:rsid w:val="00865E83"/>
    <w:rsid w:val="0086635E"/>
    <w:rsid w:val="00866C16"/>
    <w:rsid w:val="0087172F"/>
    <w:rsid w:val="00871765"/>
    <w:rsid w:val="00876594"/>
    <w:rsid w:val="0088253E"/>
    <w:rsid w:val="00882EC8"/>
    <w:rsid w:val="00883AED"/>
    <w:rsid w:val="00883DB1"/>
    <w:rsid w:val="00885E03"/>
    <w:rsid w:val="00887706"/>
    <w:rsid w:val="00891171"/>
    <w:rsid w:val="008913B6"/>
    <w:rsid w:val="008926A3"/>
    <w:rsid w:val="00892742"/>
    <w:rsid w:val="00895A2F"/>
    <w:rsid w:val="00896332"/>
    <w:rsid w:val="00896BE3"/>
    <w:rsid w:val="008A05D9"/>
    <w:rsid w:val="008A1032"/>
    <w:rsid w:val="008A2A22"/>
    <w:rsid w:val="008A2EBF"/>
    <w:rsid w:val="008A351F"/>
    <w:rsid w:val="008A38B4"/>
    <w:rsid w:val="008A45AD"/>
    <w:rsid w:val="008A6235"/>
    <w:rsid w:val="008A657B"/>
    <w:rsid w:val="008B08A7"/>
    <w:rsid w:val="008B0C45"/>
    <w:rsid w:val="008B253A"/>
    <w:rsid w:val="008B25B9"/>
    <w:rsid w:val="008B44C2"/>
    <w:rsid w:val="008B6A74"/>
    <w:rsid w:val="008B75F8"/>
    <w:rsid w:val="008C2086"/>
    <w:rsid w:val="008C3679"/>
    <w:rsid w:val="008C4795"/>
    <w:rsid w:val="008C614D"/>
    <w:rsid w:val="008C61D5"/>
    <w:rsid w:val="008C653C"/>
    <w:rsid w:val="008C697C"/>
    <w:rsid w:val="008C6BCD"/>
    <w:rsid w:val="008C7F61"/>
    <w:rsid w:val="008D0E18"/>
    <w:rsid w:val="008D1380"/>
    <w:rsid w:val="008D170C"/>
    <w:rsid w:val="008D2508"/>
    <w:rsid w:val="008D3B6A"/>
    <w:rsid w:val="008D4471"/>
    <w:rsid w:val="008D4C1B"/>
    <w:rsid w:val="008D4FC3"/>
    <w:rsid w:val="008D5977"/>
    <w:rsid w:val="008D6041"/>
    <w:rsid w:val="008D657F"/>
    <w:rsid w:val="008D6C84"/>
    <w:rsid w:val="008E3E92"/>
    <w:rsid w:val="008E42AB"/>
    <w:rsid w:val="008E4991"/>
    <w:rsid w:val="008E6B49"/>
    <w:rsid w:val="008E6CBF"/>
    <w:rsid w:val="008E75DD"/>
    <w:rsid w:val="008F1327"/>
    <w:rsid w:val="008F440D"/>
    <w:rsid w:val="008F48A6"/>
    <w:rsid w:val="008F526D"/>
    <w:rsid w:val="008F57DF"/>
    <w:rsid w:val="008F5AC0"/>
    <w:rsid w:val="008F73C8"/>
    <w:rsid w:val="00900B54"/>
    <w:rsid w:val="00902707"/>
    <w:rsid w:val="00903BE0"/>
    <w:rsid w:val="0090556D"/>
    <w:rsid w:val="009059ED"/>
    <w:rsid w:val="00910767"/>
    <w:rsid w:val="00913701"/>
    <w:rsid w:val="00913CF3"/>
    <w:rsid w:val="0091417D"/>
    <w:rsid w:val="00915850"/>
    <w:rsid w:val="009159DA"/>
    <w:rsid w:val="00915FD6"/>
    <w:rsid w:val="009162C3"/>
    <w:rsid w:val="009163EA"/>
    <w:rsid w:val="00916BFF"/>
    <w:rsid w:val="0092082C"/>
    <w:rsid w:val="00921ED6"/>
    <w:rsid w:val="00922D32"/>
    <w:rsid w:val="009242C9"/>
    <w:rsid w:val="00925084"/>
    <w:rsid w:val="00925656"/>
    <w:rsid w:val="00930D67"/>
    <w:rsid w:val="00931366"/>
    <w:rsid w:val="0093207F"/>
    <w:rsid w:val="00933AAC"/>
    <w:rsid w:val="00933C9F"/>
    <w:rsid w:val="00933D82"/>
    <w:rsid w:val="00933F5B"/>
    <w:rsid w:val="009341A9"/>
    <w:rsid w:val="00935060"/>
    <w:rsid w:val="00935C1B"/>
    <w:rsid w:val="0093672F"/>
    <w:rsid w:val="00937469"/>
    <w:rsid w:val="00937B26"/>
    <w:rsid w:val="0094006F"/>
    <w:rsid w:val="00942FD1"/>
    <w:rsid w:val="00944553"/>
    <w:rsid w:val="00944F56"/>
    <w:rsid w:val="00945663"/>
    <w:rsid w:val="00945D33"/>
    <w:rsid w:val="00946C26"/>
    <w:rsid w:val="00953119"/>
    <w:rsid w:val="00953379"/>
    <w:rsid w:val="00953966"/>
    <w:rsid w:val="00955193"/>
    <w:rsid w:val="00961767"/>
    <w:rsid w:val="00961F97"/>
    <w:rsid w:val="00962841"/>
    <w:rsid w:val="00962B8E"/>
    <w:rsid w:val="0096315A"/>
    <w:rsid w:val="00963FC6"/>
    <w:rsid w:val="00964377"/>
    <w:rsid w:val="00966FEE"/>
    <w:rsid w:val="00967891"/>
    <w:rsid w:val="00971883"/>
    <w:rsid w:val="009727E4"/>
    <w:rsid w:val="00973385"/>
    <w:rsid w:val="00975BE2"/>
    <w:rsid w:val="00976944"/>
    <w:rsid w:val="00976A27"/>
    <w:rsid w:val="00977143"/>
    <w:rsid w:val="0097769A"/>
    <w:rsid w:val="00977B21"/>
    <w:rsid w:val="009818F0"/>
    <w:rsid w:val="00982469"/>
    <w:rsid w:val="0098338D"/>
    <w:rsid w:val="00983BE0"/>
    <w:rsid w:val="009855F8"/>
    <w:rsid w:val="0098637B"/>
    <w:rsid w:val="00987C66"/>
    <w:rsid w:val="00990B92"/>
    <w:rsid w:val="009915BF"/>
    <w:rsid w:val="009918CD"/>
    <w:rsid w:val="00992C55"/>
    <w:rsid w:val="0099417B"/>
    <w:rsid w:val="00994D0F"/>
    <w:rsid w:val="0099562D"/>
    <w:rsid w:val="00995AE2"/>
    <w:rsid w:val="0099678E"/>
    <w:rsid w:val="009A0E56"/>
    <w:rsid w:val="009A12C8"/>
    <w:rsid w:val="009A185C"/>
    <w:rsid w:val="009A1C02"/>
    <w:rsid w:val="009A3CD4"/>
    <w:rsid w:val="009A71F1"/>
    <w:rsid w:val="009A72D4"/>
    <w:rsid w:val="009A78D2"/>
    <w:rsid w:val="009A7A95"/>
    <w:rsid w:val="009B2E44"/>
    <w:rsid w:val="009B332C"/>
    <w:rsid w:val="009B431C"/>
    <w:rsid w:val="009B5EEE"/>
    <w:rsid w:val="009B6DC2"/>
    <w:rsid w:val="009B7AC8"/>
    <w:rsid w:val="009B7D6B"/>
    <w:rsid w:val="009C0B7B"/>
    <w:rsid w:val="009C1072"/>
    <w:rsid w:val="009C4343"/>
    <w:rsid w:val="009C4365"/>
    <w:rsid w:val="009C4852"/>
    <w:rsid w:val="009C49A8"/>
    <w:rsid w:val="009C4CEF"/>
    <w:rsid w:val="009C57A3"/>
    <w:rsid w:val="009C5A3F"/>
    <w:rsid w:val="009C5BD3"/>
    <w:rsid w:val="009C5D65"/>
    <w:rsid w:val="009C62E0"/>
    <w:rsid w:val="009C664E"/>
    <w:rsid w:val="009C7014"/>
    <w:rsid w:val="009D09A2"/>
    <w:rsid w:val="009D21D0"/>
    <w:rsid w:val="009D2C8B"/>
    <w:rsid w:val="009D402A"/>
    <w:rsid w:val="009D53F2"/>
    <w:rsid w:val="009D63C8"/>
    <w:rsid w:val="009D67EE"/>
    <w:rsid w:val="009D6E4C"/>
    <w:rsid w:val="009E0212"/>
    <w:rsid w:val="009E054F"/>
    <w:rsid w:val="009E0B7E"/>
    <w:rsid w:val="009E1317"/>
    <w:rsid w:val="009E185F"/>
    <w:rsid w:val="009E1AD2"/>
    <w:rsid w:val="009E297D"/>
    <w:rsid w:val="009E3E05"/>
    <w:rsid w:val="009E7160"/>
    <w:rsid w:val="009F080D"/>
    <w:rsid w:val="009F0AF3"/>
    <w:rsid w:val="009F3AAA"/>
    <w:rsid w:val="009F41AF"/>
    <w:rsid w:val="009F508A"/>
    <w:rsid w:val="009F51A1"/>
    <w:rsid w:val="009F53EC"/>
    <w:rsid w:val="009F5ED8"/>
    <w:rsid w:val="009F685F"/>
    <w:rsid w:val="009F68E5"/>
    <w:rsid w:val="009F7D08"/>
    <w:rsid w:val="00A00501"/>
    <w:rsid w:val="00A025A9"/>
    <w:rsid w:val="00A03123"/>
    <w:rsid w:val="00A040A6"/>
    <w:rsid w:val="00A0624B"/>
    <w:rsid w:val="00A06673"/>
    <w:rsid w:val="00A06CA2"/>
    <w:rsid w:val="00A106FC"/>
    <w:rsid w:val="00A118D8"/>
    <w:rsid w:val="00A13599"/>
    <w:rsid w:val="00A15A74"/>
    <w:rsid w:val="00A15C6D"/>
    <w:rsid w:val="00A16036"/>
    <w:rsid w:val="00A16B7A"/>
    <w:rsid w:val="00A20F85"/>
    <w:rsid w:val="00A21A72"/>
    <w:rsid w:val="00A21C6A"/>
    <w:rsid w:val="00A22499"/>
    <w:rsid w:val="00A22BDA"/>
    <w:rsid w:val="00A23CDF"/>
    <w:rsid w:val="00A24AD2"/>
    <w:rsid w:val="00A259E1"/>
    <w:rsid w:val="00A25D15"/>
    <w:rsid w:val="00A26434"/>
    <w:rsid w:val="00A26DC6"/>
    <w:rsid w:val="00A27C74"/>
    <w:rsid w:val="00A307E9"/>
    <w:rsid w:val="00A30F1F"/>
    <w:rsid w:val="00A30FF5"/>
    <w:rsid w:val="00A31706"/>
    <w:rsid w:val="00A31AB9"/>
    <w:rsid w:val="00A32606"/>
    <w:rsid w:val="00A329BF"/>
    <w:rsid w:val="00A33796"/>
    <w:rsid w:val="00A33D2E"/>
    <w:rsid w:val="00A33EC9"/>
    <w:rsid w:val="00A35134"/>
    <w:rsid w:val="00A36A11"/>
    <w:rsid w:val="00A37766"/>
    <w:rsid w:val="00A43DE9"/>
    <w:rsid w:val="00A44AA8"/>
    <w:rsid w:val="00A46DE1"/>
    <w:rsid w:val="00A47105"/>
    <w:rsid w:val="00A514F0"/>
    <w:rsid w:val="00A51BA1"/>
    <w:rsid w:val="00A51D3D"/>
    <w:rsid w:val="00A532DD"/>
    <w:rsid w:val="00A534E5"/>
    <w:rsid w:val="00A53A4D"/>
    <w:rsid w:val="00A55CC9"/>
    <w:rsid w:val="00A56702"/>
    <w:rsid w:val="00A56A61"/>
    <w:rsid w:val="00A57182"/>
    <w:rsid w:val="00A60AAD"/>
    <w:rsid w:val="00A6149B"/>
    <w:rsid w:val="00A61E7F"/>
    <w:rsid w:val="00A61EDD"/>
    <w:rsid w:val="00A621AC"/>
    <w:rsid w:val="00A637C6"/>
    <w:rsid w:val="00A638F4"/>
    <w:rsid w:val="00A64EF2"/>
    <w:rsid w:val="00A6563D"/>
    <w:rsid w:val="00A66015"/>
    <w:rsid w:val="00A671DC"/>
    <w:rsid w:val="00A67AE6"/>
    <w:rsid w:val="00A67D0C"/>
    <w:rsid w:val="00A704EB"/>
    <w:rsid w:val="00A73771"/>
    <w:rsid w:val="00A73932"/>
    <w:rsid w:val="00A73B1D"/>
    <w:rsid w:val="00A743C6"/>
    <w:rsid w:val="00A746E3"/>
    <w:rsid w:val="00A75603"/>
    <w:rsid w:val="00A76153"/>
    <w:rsid w:val="00A77616"/>
    <w:rsid w:val="00A77CC6"/>
    <w:rsid w:val="00A808D4"/>
    <w:rsid w:val="00A80D86"/>
    <w:rsid w:val="00A82EBA"/>
    <w:rsid w:val="00A83196"/>
    <w:rsid w:val="00A831BA"/>
    <w:rsid w:val="00A832E2"/>
    <w:rsid w:val="00A84924"/>
    <w:rsid w:val="00A85C98"/>
    <w:rsid w:val="00A866FE"/>
    <w:rsid w:val="00A903B4"/>
    <w:rsid w:val="00A9105A"/>
    <w:rsid w:val="00A91067"/>
    <w:rsid w:val="00A93193"/>
    <w:rsid w:val="00A93BCE"/>
    <w:rsid w:val="00A94612"/>
    <w:rsid w:val="00A96055"/>
    <w:rsid w:val="00A9634F"/>
    <w:rsid w:val="00AA20AF"/>
    <w:rsid w:val="00AA2468"/>
    <w:rsid w:val="00AA5097"/>
    <w:rsid w:val="00AA5AA7"/>
    <w:rsid w:val="00AA686F"/>
    <w:rsid w:val="00AA6C7C"/>
    <w:rsid w:val="00AA70F9"/>
    <w:rsid w:val="00AB0043"/>
    <w:rsid w:val="00AB0366"/>
    <w:rsid w:val="00AB0F05"/>
    <w:rsid w:val="00AB4987"/>
    <w:rsid w:val="00AB4B4A"/>
    <w:rsid w:val="00AB4F4B"/>
    <w:rsid w:val="00AB50DF"/>
    <w:rsid w:val="00AB5315"/>
    <w:rsid w:val="00AB5ECD"/>
    <w:rsid w:val="00AB62CE"/>
    <w:rsid w:val="00AB7428"/>
    <w:rsid w:val="00AC1E95"/>
    <w:rsid w:val="00AC4132"/>
    <w:rsid w:val="00AC59EC"/>
    <w:rsid w:val="00AC6434"/>
    <w:rsid w:val="00AD0E3A"/>
    <w:rsid w:val="00AD2AE7"/>
    <w:rsid w:val="00AD4EFC"/>
    <w:rsid w:val="00AD67F6"/>
    <w:rsid w:val="00AE04EC"/>
    <w:rsid w:val="00AE16B5"/>
    <w:rsid w:val="00AE750B"/>
    <w:rsid w:val="00AE79A8"/>
    <w:rsid w:val="00AE7E67"/>
    <w:rsid w:val="00AF3F73"/>
    <w:rsid w:val="00AF4D8C"/>
    <w:rsid w:val="00B000E1"/>
    <w:rsid w:val="00B00873"/>
    <w:rsid w:val="00B01AC7"/>
    <w:rsid w:val="00B01E43"/>
    <w:rsid w:val="00B04787"/>
    <w:rsid w:val="00B06B81"/>
    <w:rsid w:val="00B06D3D"/>
    <w:rsid w:val="00B101CC"/>
    <w:rsid w:val="00B11165"/>
    <w:rsid w:val="00B125D2"/>
    <w:rsid w:val="00B12D07"/>
    <w:rsid w:val="00B12D74"/>
    <w:rsid w:val="00B15EBD"/>
    <w:rsid w:val="00B167E2"/>
    <w:rsid w:val="00B16AC9"/>
    <w:rsid w:val="00B25614"/>
    <w:rsid w:val="00B25E1D"/>
    <w:rsid w:val="00B3084C"/>
    <w:rsid w:val="00B31A0E"/>
    <w:rsid w:val="00B32212"/>
    <w:rsid w:val="00B334A8"/>
    <w:rsid w:val="00B337FA"/>
    <w:rsid w:val="00B33A05"/>
    <w:rsid w:val="00B343E8"/>
    <w:rsid w:val="00B348A4"/>
    <w:rsid w:val="00B34CA0"/>
    <w:rsid w:val="00B36E8D"/>
    <w:rsid w:val="00B37123"/>
    <w:rsid w:val="00B40C16"/>
    <w:rsid w:val="00B40E05"/>
    <w:rsid w:val="00B43C4F"/>
    <w:rsid w:val="00B44359"/>
    <w:rsid w:val="00B44645"/>
    <w:rsid w:val="00B4751C"/>
    <w:rsid w:val="00B50FC6"/>
    <w:rsid w:val="00B515E8"/>
    <w:rsid w:val="00B523ED"/>
    <w:rsid w:val="00B52797"/>
    <w:rsid w:val="00B52F79"/>
    <w:rsid w:val="00B5311D"/>
    <w:rsid w:val="00B55AB3"/>
    <w:rsid w:val="00B55D87"/>
    <w:rsid w:val="00B567C6"/>
    <w:rsid w:val="00B57E66"/>
    <w:rsid w:val="00B57ED7"/>
    <w:rsid w:val="00B605D3"/>
    <w:rsid w:val="00B6420E"/>
    <w:rsid w:val="00B64BB6"/>
    <w:rsid w:val="00B650E5"/>
    <w:rsid w:val="00B65A3C"/>
    <w:rsid w:val="00B67306"/>
    <w:rsid w:val="00B70106"/>
    <w:rsid w:val="00B73828"/>
    <w:rsid w:val="00B74A46"/>
    <w:rsid w:val="00B77A7A"/>
    <w:rsid w:val="00B804B6"/>
    <w:rsid w:val="00B80D6C"/>
    <w:rsid w:val="00B825D9"/>
    <w:rsid w:val="00B82A58"/>
    <w:rsid w:val="00B84C85"/>
    <w:rsid w:val="00B84DA9"/>
    <w:rsid w:val="00B8536C"/>
    <w:rsid w:val="00B9086B"/>
    <w:rsid w:val="00B90E5D"/>
    <w:rsid w:val="00B91CCF"/>
    <w:rsid w:val="00B91E74"/>
    <w:rsid w:val="00B9236D"/>
    <w:rsid w:val="00B96003"/>
    <w:rsid w:val="00B96821"/>
    <w:rsid w:val="00B97EE6"/>
    <w:rsid w:val="00BA002A"/>
    <w:rsid w:val="00BA09A5"/>
    <w:rsid w:val="00BA23D9"/>
    <w:rsid w:val="00BA3AD0"/>
    <w:rsid w:val="00BA3F82"/>
    <w:rsid w:val="00BA4AC1"/>
    <w:rsid w:val="00BA4F15"/>
    <w:rsid w:val="00BA69D3"/>
    <w:rsid w:val="00BA73DB"/>
    <w:rsid w:val="00BB16A3"/>
    <w:rsid w:val="00BB610F"/>
    <w:rsid w:val="00BB61E1"/>
    <w:rsid w:val="00BB6FCA"/>
    <w:rsid w:val="00BB714C"/>
    <w:rsid w:val="00BB7A29"/>
    <w:rsid w:val="00BB7F88"/>
    <w:rsid w:val="00BC01D5"/>
    <w:rsid w:val="00BC07B9"/>
    <w:rsid w:val="00BC180A"/>
    <w:rsid w:val="00BC1E45"/>
    <w:rsid w:val="00BC2289"/>
    <w:rsid w:val="00BC25A0"/>
    <w:rsid w:val="00BC2941"/>
    <w:rsid w:val="00BC36FD"/>
    <w:rsid w:val="00BC408A"/>
    <w:rsid w:val="00BC5F74"/>
    <w:rsid w:val="00BC6FB6"/>
    <w:rsid w:val="00BC7125"/>
    <w:rsid w:val="00BC77F1"/>
    <w:rsid w:val="00BD0769"/>
    <w:rsid w:val="00BD1751"/>
    <w:rsid w:val="00BD5173"/>
    <w:rsid w:val="00BD5843"/>
    <w:rsid w:val="00BD595D"/>
    <w:rsid w:val="00BD6E53"/>
    <w:rsid w:val="00BE06F0"/>
    <w:rsid w:val="00BE121E"/>
    <w:rsid w:val="00BE3309"/>
    <w:rsid w:val="00BE3326"/>
    <w:rsid w:val="00BE3579"/>
    <w:rsid w:val="00BE43E0"/>
    <w:rsid w:val="00BE478B"/>
    <w:rsid w:val="00BE6355"/>
    <w:rsid w:val="00BE64E6"/>
    <w:rsid w:val="00BE7142"/>
    <w:rsid w:val="00BE7927"/>
    <w:rsid w:val="00BF222E"/>
    <w:rsid w:val="00BF4446"/>
    <w:rsid w:val="00BF4B80"/>
    <w:rsid w:val="00BF51E7"/>
    <w:rsid w:val="00C015E2"/>
    <w:rsid w:val="00C01919"/>
    <w:rsid w:val="00C019E8"/>
    <w:rsid w:val="00C01C41"/>
    <w:rsid w:val="00C01C4D"/>
    <w:rsid w:val="00C046C6"/>
    <w:rsid w:val="00C065FA"/>
    <w:rsid w:val="00C06E7B"/>
    <w:rsid w:val="00C10772"/>
    <w:rsid w:val="00C11098"/>
    <w:rsid w:val="00C111ED"/>
    <w:rsid w:val="00C15F59"/>
    <w:rsid w:val="00C16692"/>
    <w:rsid w:val="00C16CB7"/>
    <w:rsid w:val="00C205A9"/>
    <w:rsid w:val="00C212CF"/>
    <w:rsid w:val="00C25B64"/>
    <w:rsid w:val="00C25D77"/>
    <w:rsid w:val="00C26D88"/>
    <w:rsid w:val="00C301C4"/>
    <w:rsid w:val="00C3082A"/>
    <w:rsid w:val="00C30CBD"/>
    <w:rsid w:val="00C339DF"/>
    <w:rsid w:val="00C33B83"/>
    <w:rsid w:val="00C33CCD"/>
    <w:rsid w:val="00C36782"/>
    <w:rsid w:val="00C378DA"/>
    <w:rsid w:val="00C37BAE"/>
    <w:rsid w:val="00C41F5E"/>
    <w:rsid w:val="00C42AFB"/>
    <w:rsid w:val="00C4417D"/>
    <w:rsid w:val="00C44F60"/>
    <w:rsid w:val="00C45FD6"/>
    <w:rsid w:val="00C5046F"/>
    <w:rsid w:val="00C51A7D"/>
    <w:rsid w:val="00C5308F"/>
    <w:rsid w:val="00C6165F"/>
    <w:rsid w:val="00C620A4"/>
    <w:rsid w:val="00C62D68"/>
    <w:rsid w:val="00C63E95"/>
    <w:rsid w:val="00C64CF3"/>
    <w:rsid w:val="00C65433"/>
    <w:rsid w:val="00C65B6A"/>
    <w:rsid w:val="00C66D7C"/>
    <w:rsid w:val="00C71BD5"/>
    <w:rsid w:val="00C73CBA"/>
    <w:rsid w:val="00C74A84"/>
    <w:rsid w:val="00C757F3"/>
    <w:rsid w:val="00C75B2A"/>
    <w:rsid w:val="00C75E24"/>
    <w:rsid w:val="00C77BCF"/>
    <w:rsid w:val="00C815BA"/>
    <w:rsid w:val="00C81683"/>
    <w:rsid w:val="00C8215A"/>
    <w:rsid w:val="00C821B4"/>
    <w:rsid w:val="00C82A39"/>
    <w:rsid w:val="00C82AF7"/>
    <w:rsid w:val="00C82CE0"/>
    <w:rsid w:val="00C834A1"/>
    <w:rsid w:val="00C837DE"/>
    <w:rsid w:val="00C846CD"/>
    <w:rsid w:val="00C85C81"/>
    <w:rsid w:val="00C87054"/>
    <w:rsid w:val="00C90B74"/>
    <w:rsid w:val="00C90C83"/>
    <w:rsid w:val="00C90E72"/>
    <w:rsid w:val="00C91176"/>
    <w:rsid w:val="00C914AA"/>
    <w:rsid w:val="00C92A7D"/>
    <w:rsid w:val="00C93173"/>
    <w:rsid w:val="00C93892"/>
    <w:rsid w:val="00C93F67"/>
    <w:rsid w:val="00C94941"/>
    <w:rsid w:val="00C95422"/>
    <w:rsid w:val="00C95EF4"/>
    <w:rsid w:val="00C9675C"/>
    <w:rsid w:val="00CA07EE"/>
    <w:rsid w:val="00CA0952"/>
    <w:rsid w:val="00CA1E9A"/>
    <w:rsid w:val="00CA2550"/>
    <w:rsid w:val="00CA361C"/>
    <w:rsid w:val="00CA3847"/>
    <w:rsid w:val="00CA5476"/>
    <w:rsid w:val="00CA56BE"/>
    <w:rsid w:val="00CA5B45"/>
    <w:rsid w:val="00CA6080"/>
    <w:rsid w:val="00CA6549"/>
    <w:rsid w:val="00CA7646"/>
    <w:rsid w:val="00CA7A1A"/>
    <w:rsid w:val="00CA7C9E"/>
    <w:rsid w:val="00CB0137"/>
    <w:rsid w:val="00CB12C4"/>
    <w:rsid w:val="00CB1B59"/>
    <w:rsid w:val="00CB29DA"/>
    <w:rsid w:val="00CB32CE"/>
    <w:rsid w:val="00CB3DDB"/>
    <w:rsid w:val="00CB4B44"/>
    <w:rsid w:val="00CB7150"/>
    <w:rsid w:val="00CB718D"/>
    <w:rsid w:val="00CB7BC8"/>
    <w:rsid w:val="00CC0503"/>
    <w:rsid w:val="00CC1860"/>
    <w:rsid w:val="00CC2E19"/>
    <w:rsid w:val="00CC2EAA"/>
    <w:rsid w:val="00CC5B86"/>
    <w:rsid w:val="00CC5BD0"/>
    <w:rsid w:val="00CC5CA5"/>
    <w:rsid w:val="00CC618A"/>
    <w:rsid w:val="00CC6954"/>
    <w:rsid w:val="00CC6C92"/>
    <w:rsid w:val="00CC6E4C"/>
    <w:rsid w:val="00CC6F12"/>
    <w:rsid w:val="00CC77E7"/>
    <w:rsid w:val="00CC7D43"/>
    <w:rsid w:val="00CD04ED"/>
    <w:rsid w:val="00CD0D64"/>
    <w:rsid w:val="00CD26DA"/>
    <w:rsid w:val="00CD561A"/>
    <w:rsid w:val="00CD5F08"/>
    <w:rsid w:val="00CD5F80"/>
    <w:rsid w:val="00CD6AB9"/>
    <w:rsid w:val="00CD708F"/>
    <w:rsid w:val="00CD70BA"/>
    <w:rsid w:val="00CD7EF8"/>
    <w:rsid w:val="00CE09E2"/>
    <w:rsid w:val="00CE117C"/>
    <w:rsid w:val="00CE11F5"/>
    <w:rsid w:val="00CE1A09"/>
    <w:rsid w:val="00CE2635"/>
    <w:rsid w:val="00CE376F"/>
    <w:rsid w:val="00CE4534"/>
    <w:rsid w:val="00CE4CEA"/>
    <w:rsid w:val="00CE4E7B"/>
    <w:rsid w:val="00CE5475"/>
    <w:rsid w:val="00CE6832"/>
    <w:rsid w:val="00CE6B42"/>
    <w:rsid w:val="00CF0084"/>
    <w:rsid w:val="00CF02C5"/>
    <w:rsid w:val="00CF0DE4"/>
    <w:rsid w:val="00CF1241"/>
    <w:rsid w:val="00CF1895"/>
    <w:rsid w:val="00CF1B89"/>
    <w:rsid w:val="00CF312E"/>
    <w:rsid w:val="00CF4043"/>
    <w:rsid w:val="00CF4AD2"/>
    <w:rsid w:val="00CF5E29"/>
    <w:rsid w:val="00CF716E"/>
    <w:rsid w:val="00D00DD5"/>
    <w:rsid w:val="00D015B8"/>
    <w:rsid w:val="00D044A5"/>
    <w:rsid w:val="00D049C5"/>
    <w:rsid w:val="00D04B4E"/>
    <w:rsid w:val="00D04EDC"/>
    <w:rsid w:val="00D04F80"/>
    <w:rsid w:val="00D0563D"/>
    <w:rsid w:val="00D107E4"/>
    <w:rsid w:val="00D10FCA"/>
    <w:rsid w:val="00D1186E"/>
    <w:rsid w:val="00D12018"/>
    <w:rsid w:val="00D146D5"/>
    <w:rsid w:val="00D152AA"/>
    <w:rsid w:val="00D2353C"/>
    <w:rsid w:val="00D252B5"/>
    <w:rsid w:val="00D26946"/>
    <w:rsid w:val="00D27E01"/>
    <w:rsid w:val="00D3057A"/>
    <w:rsid w:val="00D30C11"/>
    <w:rsid w:val="00D32E5E"/>
    <w:rsid w:val="00D3319A"/>
    <w:rsid w:val="00D34293"/>
    <w:rsid w:val="00D3434D"/>
    <w:rsid w:val="00D37605"/>
    <w:rsid w:val="00D37965"/>
    <w:rsid w:val="00D401A2"/>
    <w:rsid w:val="00D40211"/>
    <w:rsid w:val="00D4431B"/>
    <w:rsid w:val="00D4484E"/>
    <w:rsid w:val="00D45E8A"/>
    <w:rsid w:val="00D466E4"/>
    <w:rsid w:val="00D47F9F"/>
    <w:rsid w:val="00D5153A"/>
    <w:rsid w:val="00D5213B"/>
    <w:rsid w:val="00D526C7"/>
    <w:rsid w:val="00D52C91"/>
    <w:rsid w:val="00D544DE"/>
    <w:rsid w:val="00D54817"/>
    <w:rsid w:val="00D55805"/>
    <w:rsid w:val="00D5678C"/>
    <w:rsid w:val="00D6070C"/>
    <w:rsid w:val="00D61ACF"/>
    <w:rsid w:val="00D62B0E"/>
    <w:rsid w:val="00D6596F"/>
    <w:rsid w:val="00D725B3"/>
    <w:rsid w:val="00D72856"/>
    <w:rsid w:val="00D732DF"/>
    <w:rsid w:val="00D745D8"/>
    <w:rsid w:val="00D75529"/>
    <w:rsid w:val="00D762C8"/>
    <w:rsid w:val="00D769C4"/>
    <w:rsid w:val="00D76D9C"/>
    <w:rsid w:val="00D77686"/>
    <w:rsid w:val="00D77F12"/>
    <w:rsid w:val="00D80727"/>
    <w:rsid w:val="00D81D1C"/>
    <w:rsid w:val="00D83031"/>
    <w:rsid w:val="00D837CD"/>
    <w:rsid w:val="00D84E13"/>
    <w:rsid w:val="00D862E6"/>
    <w:rsid w:val="00D86A0E"/>
    <w:rsid w:val="00D872D9"/>
    <w:rsid w:val="00D90522"/>
    <w:rsid w:val="00D91C67"/>
    <w:rsid w:val="00D92333"/>
    <w:rsid w:val="00D9288B"/>
    <w:rsid w:val="00D928DC"/>
    <w:rsid w:val="00D92ADF"/>
    <w:rsid w:val="00D92EED"/>
    <w:rsid w:val="00D944FE"/>
    <w:rsid w:val="00D947B4"/>
    <w:rsid w:val="00D94A2B"/>
    <w:rsid w:val="00DA00A7"/>
    <w:rsid w:val="00DA029C"/>
    <w:rsid w:val="00DA0E6D"/>
    <w:rsid w:val="00DA18EB"/>
    <w:rsid w:val="00DA25A7"/>
    <w:rsid w:val="00DA3F93"/>
    <w:rsid w:val="00DA5B2A"/>
    <w:rsid w:val="00DB3526"/>
    <w:rsid w:val="00DB3BCC"/>
    <w:rsid w:val="00DB4465"/>
    <w:rsid w:val="00DB5433"/>
    <w:rsid w:val="00DC165A"/>
    <w:rsid w:val="00DC2267"/>
    <w:rsid w:val="00DC2B8F"/>
    <w:rsid w:val="00DC76D2"/>
    <w:rsid w:val="00DD0EA3"/>
    <w:rsid w:val="00DD15FA"/>
    <w:rsid w:val="00DD250C"/>
    <w:rsid w:val="00DD3138"/>
    <w:rsid w:val="00DD3C30"/>
    <w:rsid w:val="00DD4C94"/>
    <w:rsid w:val="00DD53D7"/>
    <w:rsid w:val="00DD5EEA"/>
    <w:rsid w:val="00DD7101"/>
    <w:rsid w:val="00DE0FFF"/>
    <w:rsid w:val="00DE1939"/>
    <w:rsid w:val="00DE370A"/>
    <w:rsid w:val="00DE45C7"/>
    <w:rsid w:val="00DE58FF"/>
    <w:rsid w:val="00DE5D7B"/>
    <w:rsid w:val="00DE64AC"/>
    <w:rsid w:val="00DE741B"/>
    <w:rsid w:val="00DE7C3E"/>
    <w:rsid w:val="00DF0478"/>
    <w:rsid w:val="00DF0716"/>
    <w:rsid w:val="00DF0C43"/>
    <w:rsid w:val="00DF0CCC"/>
    <w:rsid w:val="00DF3292"/>
    <w:rsid w:val="00DF33BC"/>
    <w:rsid w:val="00DF55C2"/>
    <w:rsid w:val="00DF5E1B"/>
    <w:rsid w:val="00DF5EF7"/>
    <w:rsid w:val="00DF686F"/>
    <w:rsid w:val="00DF7530"/>
    <w:rsid w:val="00E010C6"/>
    <w:rsid w:val="00E043E9"/>
    <w:rsid w:val="00E047EF"/>
    <w:rsid w:val="00E05359"/>
    <w:rsid w:val="00E064E4"/>
    <w:rsid w:val="00E11EDE"/>
    <w:rsid w:val="00E124D0"/>
    <w:rsid w:val="00E13216"/>
    <w:rsid w:val="00E133F5"/>
    <w:rsid w:val="00E149DC"/>
    <w:rsid w:val="00E156CB"/>
    <w:rsid w:val="00E15E3D"/>
    <w:rsid w:val="00E15F58"/>
    <w:rsid w:val="00E166E2"/>
    <w:rsid w:val="00E16A38"/>
    <w:rsid w:val="00E16BD7"/>
    <w:rsid w:val="00E203DF"/>
    <w:rsid w:val="00E21E22"/>
    <w:rsid w:val="00E25020"/>
    <w:rsid w:val="00E25FEA"/>
    <w:rsid w:val="00E2678F"/>
    <w:rsid w:val="00E27806"/>
    <w:rsid w:val="00E30DC1"/>
    <w:rsid w:val="00E320F0"/>
    <w:rsid w:val="00E3368E"/>
    <w:rsid w:val="00E33A2D"/>
    <w:rsid w:val="00E34098"/>
    <w:rsid w:val="00E36F18"/>
    <w:rsid w:val="00E37247"/>
    <w:rsid w:val="00E401D9"/>
    <w:rsid w:val="00E40CC9"/>
    <w:rsid w:val="00E40E53"/>
    <w:rsid w:val="00E41BF9"/>
    <w:rsid w:val="00E42261"/>
    <w:rsid w:val="00E42449"/>
    <w:rsid w:val="00E42AA5"/>
    <w:rsid w:val="00E452E0"/>
    <w:rsid w:val="00E45E35"/>
    <w:rsid w:val="00E46081"/>
    <w:rsid w:val="00E46087"/>
    <w:rsid w:val="00E50369"/>
    <w:rsid w:val="00E50F91"/>
    <w:rsid w:val="00E52421"/>
    <w:rsid w:val="00E55132"/>
    <w:rsid w:val="00E5576A"/>
    <w:rsid w:val="00E559DC"/>
    <w:rsid w:val="00E578E1"/>
    <w:rsid w:val="00E6005B"/>
    <w:rsid w:val="00E6034C"/>
    <w:rsid w:val="00E61A54"/>
    <w:rsid w:val="00E63519"/>
    <w:rsid w:val="00E63696"/>
    <w:rsid w:val="00E646CE"/>
    <w:rsid w:val="00E67AAD"/>
    <w:rsid w:val="00E70745"/>
    <w:rsid w:val="00E73F5B"/>
    <w:rsid w:val="00E752F0"/>
    <w:rsid w:val="00E75587"/>
    <w:rsid w:val="00E76C83"/>
    <w:rsid w:val="00E76D5C"/>
    <w:rsid w:val="00E777A0"/>
    <w:rsid w:val="00E77CFE"/>
    <w:rsid w:val="00E77D7A"/>
    <w:rsid w:val="00E8156B"/>
    <w:rsid w:val="00E81C16"/>
    <w:rsid w:val="00E81D2F"/>
    <w:rsid w:val="00E8271A"/>
    <w:rsid w:val="00E829DC"/>
    <w:rsid w:val="00E83530"/>
    <w:rsid w:val="00E84605"/>
    <w:rsid w:val="00E84B7D"/>
    <w:rsid w:val="00E85DBD"/>
    <w:rsid w:val="00E86EDC"/>
    <w:rsid w:val="00E877D3"/>
    <w:rsid w:val="00E9070B"/>
    <w:rsid w:val="00E91E77"/>
    <w:rsid w:val="00E9287C"/>
    <w:rsid w:val="00E94279"/>
    <w:rsid w:val="00E9599A"/>
    <w:rsid w:val="00E95CB9"/>
    <w:rsid w:val="00E96A40"/>
    <w:rsid w:val="00E96B59"/>
    <w:rsid w:val="00EA10C6"/>
    <w:rsid w:val="00EA38E7"/>
    <w:rsid w:val="00EA39B0"/>
    <w:rsid w:val="00EA49CB"/>
    <w:rsid w:val="00EA5D42"/>
    <w:rsid w:val="00EA72F5"/>
    <w:rsid w:val="00EA74D8"/>
    <w:rsid w:val="00EB0081"/>
    <w:rsid w:val="00EB07A1"/>
    <w:rsid w:val="00EB1254"/>
    <w:rsid w:val="00EB2412"/>
    <w:rsid w:val="00EB27C3"/>
    <w:rsid w:val="00EB51EF"/>
    <w:rsid w:val="00EB795B"/>
    <w:rsid w:val="00EB7F59"/>
    <w:rsid w:val="00EC0377"/>
    <w:rsid w:val="00EC153C"/>
    <w:rsid w:val="00EC441E"/>
    <w:rsid w:val="00EC6537"/>
    <w:rsid w:val="00EC719F"/>
    <w:rsid w:val="00EC7AA1"/>
    <w:rsid w:val="00ED1B96"/>
    <w:rsid w:val="00ED22C0"/>
    <w:rsid w:val="00ED2C0A"/>
    <w:rsid w:val="00ED4A56"/>
    <w:rsid w:val="00ED54CE"/>
    <w:rsid w:val="00ED5E05"/>
    <w:rsid w:val="00EE04D5"/>
    <w:rsid w:val="00EE0EFC"/>
    <w:rsid w:val="00EE0F89"/>
    <w:rsid w:val="00EE1364"/>
    <w:rsid w:val="00EE1ABF"/>
    <w:rsid w:val="00EE4353"/>
    <w:rsid w:val="00EE437D"/>
    <w:rsid w:val="00EE475B"/>
    <w:rsid w:val="00EE5F94"/>
    <w:rsid w:val="00EF0639"/>
    <w:rsid w:val="00EF43AE"/>
    <w:rsid w:val="00EF6281"/>
    <w:rsid w:val="00EF7B38"/>
    <w:rsid w:val="00F00630"/>
    <w:rsid w:val="00F07DEB"/>
    <w:rsid w:val="00F13267"/>
    <w:rsid w:val="00F14729"/>
    <w:rsid w:val="00F15069"/>
    <w:rsid w:val="00F15FC5"/>
    <w:rsid w:val="00F165F1"/>
    <w:rsid w:val="00F171ED"/>
    <w:rsid w:val="00F2016C"/>
    <w:rsid w:val="00F24772"/>
    <w:rsid w:val="00F2653F"/>
    <w:rsid w:val="00F31171"/>
    <w:rsid w:val="00F32303"/>
    <w:rsid w:val="00F32467"/>
    <w:rsid w:val="00F36665"/>
    <w:rsid w:val="00F36BA2"/>
    <w:rsid w:val="00F40104"/>
    <w:rsid w:val="00F40B38"/>
    <w:rsid w:val="00F4174A"/>
    <w:rsid w:val="00F41994"/>
    <w:rsid w:val="00F427C9"/>
    <w:rsid w:val="00F45E7C"/>
    <w:rsid w:val="00F46886"/>
    <w:rsid w:val="00F54DA5"/>
    <w:rsid w:val="00F564A2"/>
    <w:rsid w:val="00F571CF"/>
    <w:rsid w:val="00F57C3F"/>
    <w:rsid w:val="00F57EAB"/>
    <w:rsid w:val="00F600B5"/>
    <w:rsid w:val="00F60166"/>
    <w:rsid w:val="00F60724"/>
    <w:rsid w:val="00F62B8A"/>
    <w:rsid w:val="00F655B8"/>
    <w:rsid w:val="00F6626E"/>
    <w:rsid w:val="00F66403"/>
    <w:rsid w:val="00F664FF"/>
    <w:rsid w:val="00F6662E"/>
    <w:rsid w:val="00F66C9F"/>
    <w:rsid w:val="00F6723E"/>
    <w:rsid w:val="00F71642"/>
    <w:rsid w:val="00F7367D"/>
    <w:rsid w:val="00F74FB1"/>
    <w:rsid w:val="00F75E7F"/>
    <w:rsid w:val="00F766CD"/>
    <w:rsid w:val="00F800DF"/>
    <w:rsid w:val="00F83A16"/>
    <w:rsid w:val="00F8491A"/>
    <w:rsid w:val="00F85557"/>
    <w:rsid w:val="00F86AF6"/>
    <w:rsid w:val="00F91671"/>
    <w:rsid w:val="00F9450F"/>
    <w:rsid w:val="00F95CB5"/>
    <w:rsid w:val="00F977F4"/>
    <w:rsid w:val="00F97A62"/>
    <w:rsid w:val="00FA15EB"/>
    <w:rsid w:val="00FA2AB1"/>
    <w:rsid w:val="00FA3570"/>
    <w:rsid w:val="00FA3B23"/>
    <w:rsid w:val="00FA40A2"/>
    <w:rsid w:val="00FA4B51"/>
    <w:rsid w:val="00FA5D4B"/>
    <w:rsid w:val="00FA5FEE"/>
    <w:rsid w:val="00FA6227"/>
    <w:rsid w:val="00FA70D3"/>
    <w:rsid w:val="00FB0D2A"/>
    <w:rsid w:val="00FB0DCF"/>
    <w:rsid w:val="00FB3ECB"/>
    <w:rsid w:val="00FB4361"/>
    <w:rsid w:val="00FB4C4E"/>
    <w:rsid w:val="00FB7528"/>
    <w:rsid w:val="00FC0295"/>
    <w:rsid w:val="00FC0C3B"/>
    <w:rsid w:val="00FC13A8"/>
    <w:rsid w:val="00FC2BDC"/>
    <w:rsid w:val="00FC2CBA"/>
    <w:rsid w:val="00FC362D"/>
    <w:rsid w:val="00FC4684"/>
    <w:rsid w:val="00FC4C46"/>
    <w:rsid w:val="00FC50A7"/>
    <w:rsid w:val="00FC55F7"/>
    <w:rsid w:val="00FC669F"/>
    <w:rsid w:val="00FC72B7"/>
    <w:rsid w:val="00FC7398"/>
    <w:rsid w:val="00FD09C0"/>
    <w:rsid w:val="00FD0DB8"/>
    <w:rsid w:val="00FD27A3"/>
    <w:rsid w:val="00FD50B9"/>
    <w:rsid w:val="00FD56BC"/>
    <w:rsid w:val="00FD73C7"/>
    <w:rsid w:val="00FE01D1"/>
    <w:rsid w:val="00FE04F5"/>
    <w:rsid w:val="00FE06BC"/>
    <w:rsid w:val="00FE1103"/>
    <w:rsid w:val="00FE113C"/>
    <w:rsid w:val="00FE67ED"/>
    <w:rsid w:val="00FE75C8"/>
    <w:rsid w:val="00FF0167"/>
    <w:rsid w:val="00FF277E"/>
    <w:rsid w:val="00FF3812"/>
    <w:rsid w:val="00FF3A43"/>
    <w:rsid w:val="00FF3BFE"/>
    <w:rsid w:val="00FF41C5"/>
    <w:rsid w:val="00FF5963"/>
    <w:rsid w:val="00FF5C84"/>
    <w:rsid w:val="00FF5E3B"/>
    <w:rsid w:val="00FF622B"/>
    <w:rsid w:val="00FF622D"/>
    <w:rsid w:val="00FF7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9"/>
    <w:rPr>
      <w:b/>
      <w:color w:val="000000"/>
      <w:sz w:val="21"/>
      <w:szCs w:val="21"/>
    </w:rPr>
  </w:style>
  <w:style w:type="paragraph" w:styleId="Heading1">
    <w:name w:val="heading 1"/>
    <w:basedOn w:val="Normal"/>
    <w:next w:val="Normal"/>
    <w:qFormat/>
    <w:rsid w:val="00C06E7B"/>
    <w:pPr>
      <w:keepNext/>
      <w:ind w:left="-30" w:right="-30"/>
      <w:outlineLvl w:val="0"/>
    </w:pPr>
    <w:rPr>
      <w:b w:val="0"/>
      <w:bCs/>
      <w:snapToGrid w:val="0"/>
    </w:rPr>
  </w:style>
  <w:style w:type="paragraph" w:styleId="Heading2">
    <w:name w:val="heading 2"/>
    <w:basedOn w:val="Normal"/>
    <w:next w:val="Normal"/>
    <w:qFormat/>
    <w:rsid w:val="00C06E7B"/>
    <w:pPr>
      <w:keepNext/>
      <w:tabs>
        <w:tab w:val="decimal" w:pos="1152"/>
      </w:tabs>
      <w:jc w:val="both"/>
      <w:outlineLvl w:val="1"/>
    </w:pPr>
    <w:rPr>
      <w:b w:val="0"/>
    </w:rPr>
  </w:style>
  <w:style w:type="paragraph" w:styleId="Heading3">
    <w:name w:val="heading 3"/>
    <w:basedOn w:val="Normal"/>
    <w:next w:val="Normal"/>
    <w:qFormat/>
    <w:rsid w:val="00C06E7B"/>
    <w:pPr>
      <w:keepNext/>
      <w:tabs>
        <w:tab w:val="left" w:pos="1650"/>
      </w:tabs>
      <w:ind w:right="150"/>
      <w:jc w:val="right"/>
      <w:outlineLvl w:val="2"/>
    </w:pPr>
    <w:rPr>
      <w:b w:val="0"/>
      <w:snapToGrid w:val="0"/>
    </w:rPr>
  </w:style>
  <w:style w:type="paragraph" w:styleId="Heading4">
    <w:name w:val="heading 4"/>
    <w:basedOn w:val="Normal"/>
    <w:next w:val="Normal"/>
    <w:qFormat/>
    <w:rsid w:val="00C06E7B"/>
    <w:pPr>
      <w:keepNext/>
      <w:tabs>
        <w:tab w:val="decimal" w:pos="1509"/>
      </w:tabs>
      <w:ind w:right="-108"/>
      <w:outlineLvl w:val="3"/>
    </w:pPr>
    <w:rPr>
      <w:b w:val="0"/>
    </w:rPr>
  </w:style>
  <w:style w:type="paragraph" w:styleId="Heading5">
    <w:name w:val="heading 5"/>
    <w:basedOn w:val="Normal"/>
    <w:next w:val="Normal"/>
    <w:qFormat/>
    <w:rsid w:val="00C06E7B"/>
    <w:pPr>
      <w:keepNext/>
      <w:tabs>
        <w:tab w:val="decimal" w:pos="1152"/>
      </w:tabs>
      <w:outlineLvl w:val="4"/>
    </w:pPr>
    <w:rPr>
      <w:b w:val="0"/>
    </w:rPr>
  </w:style>
  <w:style w:type="paragraph" w:styleId="Heading6">
    <w:name w:val="heading 6"/>
    <w:basedOn w:val="Normal"/>
    <w:next w:val="Normal"/>
    <w:qFormat/>
    <w:rsid w:val="00C06E7B"/>
    <w:pPr>
      <w:keepNext/>
      <w:outlineLvl w:val="5"/>
    </w:pPr>
    <w:rPr>
      <w:b w:val="0"/>
      <w:sz w:val="20"/>
      <w:szCs w:val="20"/>
      <w:lang w:val="en-GB"/>
    </w:rPr>
  </w:style>
  <w:style w:type="paragraph" w:styleId="Heading7">
    <w:name w:val="heading 7"/>
    <w:basedOn w:val="Normal"/>
    <w:next w:val="Normal"/>
    <w:qFormat/>
    <w:rsid w:val="00C06E7B"/>
    <w:pPr>
      <w:keepNext/>
      <w:jc w:val="center"/>
      <w:outlineLvl w:val="6"/>
    </w:pPr>
    <w:rPr>
      <w:b w:val="0"/>
      <w:sz w:val="18"/>
      <w:szCs w:val="20"/>
      <w:lang w:val="en-GB"/>
    </w:rPr>
  </w:style>
  <w:style w:type="paragraph" w:styleId="Heading8">
    <w:name w:val="heading 8"/>
    <w:basedOn w:val="Normal"/>
    <w:next w:val="Normal"/>
    <w:qFormat/>
    <w:rsid w:val="00C06E7B"/>
    <w:pPr>
      <w:keepNext/>
      <w:ind w:left="1080" w:hanging="1080"/>
      <w:outlineLvl w:val="7"/>
    </w:pPr>
    <w:rPr>
      <w:b w:val="0"/>
    </w:rPr>
  </w:style>
  <w:style w:type="paragraph" w:styleId="Heading9">
    <w:name w:val="heading 9"/>
    <w:basedOn w:val="Normal"/>
    <w:next w:val="Normal"/>
    <w:qFormat/>
    <w:rsid w:val="00C06E7B"/>
    <w:pPr>
      <w:keepNext/>
      <w:jc w:val="right"/>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06E7B"/>
    <w:pPr>
      <w:jc w:val="center"/>
    </w:pPr>
    <w:rPr>
      <w:b w:val="0"/>
      <w:sz w:val="18"/>
      <w:szCs w:val="20"/>
      <w:lang w:val="en-GB"/>
    </w:rPr>
  </w:style>
  <w:style w:type="paragraph" w:styleId="Title">
    <w:name w:val="Title"/>
    <w:basedOn w:val="Normal"/>
    <w:qFormat/>
    <w:rsid w:val="00C06E7B"/>
    <w:pPr>
      <w:tabs>
        <w:tab w:val="left" w:pos="1134"/>
      </w:tabs>
      <w:spacing w:line="280" w:lineRule="atLeast"/>
      <w:jc w:val="center"/>
    </w:pPr>
    <w:rPr>
      <w:b w:val="0"/>
      <w:sz w:val="28"/>
      <w:szCs w:val="20"/>
      <w:u w:val="single"/>
    </w:rPr>
  </w:style>
  <w:style w:type="paragraph" w:styleId="BodyTextIndent3">
    <w:name w:val="Body Text Indent 3"/>
    <w:basedOn w:val="Normal"/>
    <w:semiHidden/>
    <w:rsid w:val="00C06E7B"/>
    <w:pPr>
      <w:ind w:left="709"/>
    </w:pPr>
    <w:rPr>
      <w:rFonts w:ascii="Book Antiqua" w:hAnsi="Book Antiqua"/>
      <w:sz w:val="22"/>
      <w:szCs w:val="20"/>
      <w:lang w:val="en-GB"/>
    </w:rPr>
  </w:style>
  <w:style w:type="paragraph" w:styleId="BodyTextIndent">
    <w:name w:val="Body Text Indent"/>
    <w:basedOn w:val="Normal"/>
    <w:semiHidden/>
    <w:rsid w:val="00C06E7B"/>
    <w:pPr>
      <w:ind w:left="720" w:hanging="720"/>
    </w:pPr>
    <w:rPr>
      <w:sz w:val="20"/>
      <w:szCs w:val="20"/>
      <w:lang w:val="en-GB"/>
    </w:rPr>
  </w:style>
  <w:style w:type="paragraph" w:styleId="BodyTextIndent2">
    <w:name w:val="Body Text Indent 2"/>
    <w:basedOn w:val="Normal"/>
    <w:semiHidden/>
    <w:rsid w:val="00C06E7B"/>
    <w:pPr>
      <w:ind w:left="720" w:hanging="720"/>
    </w:pPr>
    <w:rPr>
      <w:rFonts w:ascii="Book Antiqua" w:hAnsi="Book Antiqua"/>
      <w:sz w:val="22"/>
      <w:szCs w:val="20"/>
      <w:lang w:val="en-GB"/>
    </w:rPr>
  </w:style>
  <w:style w:type="character" w:styleId="PageNumber">
    <w:name w:val="page number"/>
    <w:basedOn w:val="DefaultParagraphFont"/>
    <w:semiHidden/>
    <w:rsid w:val="00C06E7B"/>
  </w:style>
  <w:style w:type="paragraph" w:styleId="Footer">
    <w:name w:val="footer"/>
    <w:basedOn w:val="Normal"/>
    <w:link w:val="FooterChar"/>
    <w:uiPriority w:val="99"/>
    <w:rsid w:val="00C06E7B"/>
    <w:pPr>
      <w:tabs>
        <w:tab w:val="center" w:pos="4320"/>
        <w:tab w:val="right" w:pos="8640"/>
      </w:tabs>
    </w:pPr>
    <w:rPr>
      <w:b w:val="0"/>
      <w:color w:val="auto"/>
      <w:sz w:val="20"/>
      <w:szCs w:val="20"/>
      <w:lang w:val="en-GB"/>
    </w:rPr>
  </w:style>
  <w:style w:type="paragraph" w:styleId="BodyText">
    <w:name w:val="Body Text"/>
    <w:basedOn w:val="Normal"/>
    <w:semiHidden/>
    <w:rsid w:val="00C06E7B"/>
    <w:pPr>
      <w:jc w:val="both"/>
    </w:pPr>
  </w:style>
  <w:style w:type="paragraph" w:styleId="Header">
    <w:name w:val="header"/>
    <w:basedOn w:val="Normal"/>
    <w:semiHidden/>
    <w:rsid w:val="00C06E7B"/>
    <w:pPr>
      <w:tabs>
        <w:tab w:val="center" w:pos="4320"/>
        <w:tab w:val="right" w:pos="8640"/>
      </w:tabs>
    </w:pPr>
  </w:style>
  <w:style w:type="paragraph" w:styleId="BlockText">
    <w:name w:val="Block Text"/>
    <w:basedOn w:val="Normal"/>
    <w:semiHidden/>
    <w:rsid w:val="00C06E7B"/>
    <w:pPr>
      <w:ind w:left="-540" w:right="-86"/>
      <w:jc w:val="both"/>
    </w:pPr>
  </w:style>
  <w:style w:type="paragraph" w:styleId="BodyText2">
    <w:name w:val="Body Text 2"/>
    <w:basedOn w:val="Normal"/>
    <w:semiHidden/>
    <w:rsid w:val="00C06E7B"/>
    <w:pPr>
      <w:jc w:val="right"/>
    </w:pPr>
    <w:rPr>
      <w:lang w:val="en-GB"/>
    </w:rPr>
  </w:style>
  <w:style w:type="paragraph" w:styleId="ListParagraph">
    <w:name w:val="List Paragraph"/>
    <w:basedOn w:val="Normal"/>
    <w:uiPriority w:val="34"/>
    <w:qFormat/>
    <w:rsid w:val="00845C58"/>
    <w:pPr>
      <w:ind w:left="720"/>
    </w:pPr>
  </w:style>
  <w:style w:type="table" w:styleId="TableGrid">
    <w:name w:val="Table Grid"/>
    <w:basedOn w:val="TableNormal"/>
    <w:uiPriority w:val="59"/>
    <w:rsid w:val="00332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325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325F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325F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325F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325F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LineNumber">
    <w:name w:val="line number"/>
    <w:basedOn w:val="DefaultParagraphFont"/>
    <w:uiPriority w:val="99"/>
    <w:semiHidden/>
    <w:unhideWhenUsed/>
    <w:rsid w:val="00517955"/>
  </w:style>
  <w:style w:type="paragraph" w:styleId="DocumentMap">
    <w:name w:val="Document Map"/>
    <w:basedOn w:val="Normal"/>
    <w:link w:val="DocumentMapChar"/>
    <w:uiPriority w:val="99"/>
    <w:semiHidden/>
    <w:unhideWhenUsed/>
    <w:rsid w:val="00A46DE1"/>
    <w:rPr>
      <w:rFonts w:ascii="Tahoma" w:hAnsi="Tahoma"/>
      <w:b w:val="0"/>
      <w:color w:val="auto"/>
      <w:sz w:val="16"/>
      <w:szCs w:val="16"/>
    </w:rPr>
  </w:style>
  <w:style w:type="character" w:customStyle="1" w:styleId="DocumentMapChar">
    <w:name w:val="Document Map Char"/>
    <w:link w:val="DocumentMap"/>
    <w:uiPriority w:val="99"/>
    <w:semiHidden/>
    <w:rsid w:val="00A46DE1"/>
    <w:rPr>
      <w:rFonts w:ascii="Tahoma" w:hAnsi="Tahoma" w:cs="Tahoma"/>
      <w:sz w:val="16"/>
      <w:szCs w:val="16"/>
    </w:rPr>
  </w:style>
  <w:style w:type="character" w:customStyle="1" w:styleId="FooterChar">
    <w:name w:val="Footer Char"/>
    <w:link w:val="Footer"/>
    <w:uiPriority w:val="99"/>
    <w:rsid w:val="009F080D"/>
    <w:rPr>
      <w:lang w:val="en-GB"/>
    </w:rPr>
  </w:style>
  <w:style w:type="paragraph" w:styleId="BalloonText">
    <w:name w:val="Balloon Text"/>
    <w:basedOn w:val="Normal"/>
    <w:link w:val="BalloonTextChar"/>
    <w:uiPriority w:val="99"/>
    <w:semiHidden/>
    <w:unhideWhenUsed/>
    <w:rsid w:val="00E67AAD"/>
    <w:rPr>
      <w:rFonts w:ascii="Tahoma" w:hAnsi="Tahoma" w:cs="Tahoma"/>
      <w:sz w:val="16"/>
      <w:szCs w:val="16"/>
    </w:rPr>
  </w:style>
  <w:style w:type="character" w:customStyle="1" w:styleId="BalloonTextChar">
    <w:name w:val="Balloon Text Char"/>
    <w:basedOn w:val="DefaultParagraphFont"/>
    <w:link w:val="BalloonText"/>
    <w:uiPriority w:val="99"/>
    <w:semiHidden/>
    <w:rsid w:val="00E67AAD"/>
    <w:rPr>
      <w:rFonts w:ascii="Tahoma" w:hAnsi="Tahoma" w:cs="Tahoma"/>
      <w:b/>
      <w:color w:val="000000"/>
      <w:sz w:val="16"/>
      <w:szCs w:val="16"/>
    </w:rPr>
  </w:style>
</w:styles>
</file>

<file path=word/webSettings.xml><?xml version="1.0" encoding="utf-8"?>
<w:webSettings xmlns:r="http://schemas.openxmlformats.org/officeDocument/2006/relationships" xmlns:w="http://schemas.openxmlformats.org/wordprocessingml/2006/main">
  <w:divs>
    <w:div w:id="95760904">
      <w:bodyDiv w:val="1"/>
      <w:marLeft w:val="0"/>
      <w:marRight w:val="0"/>
      <w:marTop w:val="0"/>
      <w:marBottom w:val="0"/>
      <w:divBdr>
        <w:top w:val="none" w:sz="0" w:space="0" w:color="auto"/>
        <w:left w:val="none" w:sz="0" w:space="0" w:color="auto"/>
        <w:bottom w:val="none" w:sz="0" w:space="0" w:color="auto"/>
        <w:right w:val="none" w:sz="0" w:space="0" w:color="auto"/>
      </w:divBdr>
    </w:div>
    <w:div w:id="1541937830">
      <w:bodyDiv w:val="1"/>
      <w:marLeft w:val="0"/>
      <w:marRight w:val="0"/>
      <w:marTop w:val="0"/>
      <w:marBottom w:val="0"/>
      <w:divBdr>
        <w:top w:val="none" w:sz="0" w:space="0" w:color="auto"/>
        <w:left w:val="none" w:sz="0" w:space="0" w:color="auto"/>
        <w:bottom w:val="none" w:sz="0" w:space="0" w:color="auto"/>
        <w:right w:val="none" w:sz="0" w:space="0" w:color="auto"/>
      </w:divBdr>
    </w:div>
    <w:div w:id="20496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package" Target="embeddings/Microsoft_Office_Excel_Worksheet8.xlsx"/><Relationship Id="rId3" Type="http://schemas.openxmlformats.org/officeDocument/2006/relationships/settings" Target="settings.xml"/><Relationship Id="rId21" Type="http://schemas.openxmlformats.org/officeDocument/2006/relationships/package" Target="embeddings/Microsoft_Office_Excel_Worksheet5.xlsx"/><Relationship Id="rId34" Type="http://schemas.openxmlformats.org/officeDocument/2006/relationships/package" Target="embeddings/Microsoft_Office_Excel_Worksheet12.xlsx"/><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package" Target="embeddings/Microsoft_Office_Excel_Worksheet7.xlsx"/><Relationship Id="rId32" Type="http://schemas.openxmlformats.org/officeDocument/2006/relationships/package" Target="embeddings/Microsoft_Office_Excel_Worksheet11.xlsx"/><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Office_Excel_Worksheet3.xlsx"/><Relationship Id="rId23" Type="http://schemas.openxmlformats.org/officeDocument/2006/relationships/package" Target="embeddings/Microsoft_Office_Excel_Worksheet6.xlsx"/><Relationship Id="rId28" Type="http://schemas.openxmlformats.org/officeDocument/2006/relationships/package" Target="embeddings/Microsoft_Office_Excel_Worksheet9.xlsx"/><Relationship Id="rId36" Type="http://schemas.openxmlformats.org/officeDocument/2006/relationships/footer" Target="footer4.xml"/><Relationship Id="rId10" Type="http://schemas.openxmlformats.org/officeDocument/2006/relationships/package" Target="embeddings/Microsoft_Office_Excel_Worksheet2.xlsx"/><Relationship Id="rId19" Type="http://schemas.openxmlformats.org/officeDocument/2006/relationships/package" Target="embeddings/Microsoft_Office_Excel_Worksheet4.xlsx"/><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image" Target="media/image8.emf"/><Relationship Id="rId30" Type="http://schemas.openxmlformats.org/officeDocument/2006/relationships/package" Target="embeddings/Microsoft_Office_Excel_Worksheet10.xlsx"/><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15</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Sugar Bun Corporation Berhad</vt:lpstr>
    </vt:vector>
  </TitlesOfParts>
  <Company>Grizli777</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Bun Corporation Berhad</dc:title>
  <dc:subject/>
  <dc:creator>AUD7-8</dc:creator>
  <cp:keywords/>
  <dc:description/>
  <cp:lastModifiedBy>BO</cp:lastModifiedBy>
  <cp:revision>30</cp:revision>
  <cp:lastPrinted>2017-12-29T10:40:00Z</cp:lastPrinted>
  <dcterms:created xsi:type="dcterms:W3CDTF">2017-12-28T14:07:00Z</dcterms:created>
  <dcterms:modified xsi:type="dcterms:W3CDTF">2017-12-29T10:52:00Z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2013</vt:lpwstr>
  </property>
  <property fmtid="{D5CDD505-2E9C-101B-9397-08002B2CF9AE}" pid="4" name="tabIndex">
    <vt:lpwstr>Q4</vt:lpwstr>
  </property>
  <property fmtid="{D5CDD505-2E9C-101B-9397-08002B2CF9AE}" pid="5" name="workpaperIndex">
    <vt:lpwstr/>
  </property>
</Properties>
</file>